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430" w:rsidRPr="00391430" w:rsidRDefault="00391430" w:rsidP="00391430">
      <w:pPr>
        <w:widowControl/>
        <w:shd w:val="clear" w:color="auto" w:fill="FDFAFF"/>
        <w:spacing w:before="300" w:after="300" w:line="525" w:lineRule="atLeast"/>
        <w:jc w:val="center"/>
        <w:outlineLvl w:val="0"/>
        <w:rPr>
          <w:rFonts w:ascii="微软雅黑" w:eastAsia="微软雅黑" w:hAnsi="微软雅黑" w:cs="宋体"/>
          <w:b/>
          <w:bCs/>
          <w:color w:val="034083"/>
          <w:kern w:val="36"/>
          <w:sz w:val="33"/>
          <w:szCs w:val="33"/>
        </w:rPr>
      </w:pPr>
      <w:r w:rsidRPr="00391430">
        <w:rPr>
          <w:rFonts w:ascii="微软雅黑" w:eastAsia="微软雅黑" w:hAnsi="微软雅黑" w:cs="宋体" w:hint="eastAsia"/>
          <w:b/>
          <w:bCs/>
          <w:color w:val="034083"/>
          <w:kern w:val="36"/>
          <w:sz w:val="33"/>
          <w:szCs w:val="33"/>
        </w:rPr>
        <w:t xml:space="preserve">尼日利亚电子电器产品技术性贸易措施 </w:t>
      </w:r>
    </w:p>
    <w:p w:rsidR="00391430" w:rsidRPr="00391430" w:rsidRDefault="00391430" w:rsidP="00391430">
      <w:pPr>
        <w:widowControl/>
        <w:jc w:val="center"/>
        <w:rPr>
          <w:rFonts w:ascii="微软雅黑" w:eastAsia="微软雅黑" w:hAnsi="微软雅黑" w:cs="宋体" w:hint="eastAsia"/>
          <w:color w:val="4F4F4F"/>
          <w:kern w:val="0"/>
          <w:szCs w:val="21"/>
        </w:rPr>
      </w:pPr>
      <w:r w:rsidRPr="00391430">
        <w:rPr>
          <w:rFonts w:ascii="微软雅黑" w:eastAsia="微软雅黑" w:hAnsi="微软雅黑" w:cs="宋体" w:hint="eastAsia"/>
          <w:color w:val="4F4F4F"/>
          <w:kern w:val="0"/>
          <w:szCs w:val="21"/>
        </w:rPr>
        <w:t>发布时间： 2022-03-24 15:38      发布人：陈力      发布部门：通关</w:t>
      </w:r>
      <w:proofErr w:type="gramStart"/>
      <w:r w:rsidRPr="00391430">
        <w:rPr>
          <w:rFonts w:ascii="微软雅黑" w:eastAsia="微软雅黑" w:hAnsi="微软雅黑" w:cs="宋体" w:hint="eastAsia"/>
          <w:color w:val="4F4F4F"/>
          <w:kern w:val="0"/>
          <w:szCs w:val="21"/>
        </w:rPr>
        <w:t>运行科</w:t>
      </w:r>
      <w:proofErr w:type="gramEnd"/>
      <w:r w:rsidRPr="00391430">
        <w:rPr>
          <w:rFonts w:ascii="微软雅黑" w:eastAsia="微软雅黑" w:hAnsi="微软雅黑" w:cs="宋体" w:hint="eastAsia"/>
          <w:color w:val="4F4F4F"/>
          <w:kern w:val="0"/>
          <w:szCs w:val="21"/>
        </w:rPr>
        <w:t xml:space="preserve">      浏览次数：3 </w:t>
      </w:r>
    </w:p>
    <w:p w:rsidR="00391430" w:rsidRPr="00391430" w:rsidRDefault="00391430" w:rsidP="00391430">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391430">
        <w:rPr>
          <w:rFonts w:ascii="方正仿宋_GBK" w:eastAsia="方正仿宋_GBK" w:hAnsi="微软雅黑" w:cs="宋体" w:hint="eastAsia"/>
          <w:kern w:val="0"/>
          <w:sz w:val="36"/>
          <w:szCs w:val="36"/>
        </w:rPr>
        <w:t>尼日利亚地处非洲中心地带，人口数量非洲第一，</w:t>
      </w:r>
      <w:r w:rsidRPr="00391430">
        <w:rPr>
          <w:rFonts w:ascii="Times New Roman" w:eastAsia="微软雅黑" w:hAnsi="Times New Roman" w:cs="Times New Roman"/>
          <w:kern w:val="0"/>
          <w:sz w:val="36"/>
          <w:szCs w:val="36"/>
        </w:rPr>
        <w:t>2019</w:t>
      </w:r>
      <w:r w:rsidRPr="00391430">
        <w:rPr>
          <w:rFonts w:ascii="方正仿宋_GBK" w:eastAsia="方正仿宋_GBK" w:hAnsi="微软雅黑" w:cs="宋体" w:hint="eastAsia"/>
          <w:kern w:val="0"/>
          <w:sz w:val="36"/>
          <w:szCs w:val="36"/>
        </w:rPr>
        <w:t>年经济总量位居非洲首位。</w:t>
      </w:r>
    </w:p>
    <w:p w:rsidR="00391430" w:rsidRPr="00391430" w:rsidRDefault="00391430" w:rsidP="00391430">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391430">
        <w:rPr>
          <w:rFonts w:ascii="方正黑体_GBK" w:eastAsia="方正黑体_GBK" w:hAnsi="微软雅黑" w:cs="宋体" w:hint="eastAsia"/>
          <w:kern w:val="0"/>
          <w:sz w:val="36"/>
          <w:szCs w:val="36"/>
        </w:rPr>
        <w:t>职能机构。</w:t>
      </w:r>
      <w:r w:rsidRPr="00391430">
        <w:rPr>
          <w:rFonts w:ascii="方正仿宋_GBK" w:eastAsia="方正仿宋_GBK" w:hAnsi="微软雅黑" w:cs="宋体" w:hint="eastAsia"/>
          <w:kern w:val="0"/>
          <w:sz w:val="36"/>
          <w:szCs w:val="36"/>
        </w:rPr>
        <w:t>为确保管制产品符合技术标准或其他国际标准，尼日利亚国家标准局对电子电器实施装船前强制性合格评定程序计划。</w:t>
      </w:r>
    </w:p>
    <w:p w:rsidR="00391430" w:rsidRPr="00391430" w:rsidRDefault="00391430" w:rsidP="00391430">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391430">
        <w:rPr>
          <w:rFonts w:ascii="方正黑体_GBK" w:eastAsia="方正黑体_GBK" w:hAnsi="微软雅黑" w:cs="宋体" w:hint="eastAsia"/>
          <w:kern w:val="0"/>
          <w:sz w:val="36"/>
          <w:szCs w:val="36"/>
        </w:rPr>
        <w:t>标准、技术法规。</w:t>
      </w:r>
      <w:r w:rsidRPr="00391430">
        <w:rPr>
          <w:rFonts w:ascii="方正仿宋_GBK" w:eastAsia="方正仿宋_GBK" w:hAnsi="微软雅黑" w:cs="宋体" w:hint="eastAsia"/>
          <w:kern w:val="0"/>
          <w:sz w:val="36"/>
          <w:szCs w:val="36"/>
        </w:rPr>
        <w:t>尼日利亚电子电器产品标准覆盖家用插头插座、工业用插头插座、家用开关、器具开关、连接器件、小型熔断器等具体产品，等同采用</w:t>
      </w:r>
      <w:r w:rsidRPr="00391430">
        <w:rPr>
          <w:rFonts w:ascii="Times New Roman" w:eastAsia="微软雅黑" w:hAnsi="Times New Roman" w:cs="Times New Roman"/>
          <w:kern w:val="0"/>
          <w:sz w:val="36"/>
          <w:szCs w:val="36"/>
        </w:rPr>
        <w:t>IEC</w:t>
      </w:r>
      <w:r w:rsidRPr="00391430">
        <w:rPr>
          <w:rFonts w:ascii="方正仿宋_GBK" w:eastAsia="方正仿宋_GBK" w:hAnsi="微软雅黑" w:cs="宋体" w:hint="eastAsia"/>
          <w:kern w:val="0"/>
          <w:sz w:val="36"/>
          <w:szCs w:val="36"/>
        </w:rPr>
        <w:t>标准。</w:t>
      </w:r>
    </w:p>
    <w:p w:rsidR="00391430" w:rsidRPr="00391430" w:rsidRDefault="00391430" w:rsidP="00391430">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391430">
        <w:rPr>
          <w:rFonts w:ascii="方正黑体_GBK" w:eastAsia="方正黑体_GBK" w:hAnsi="微软雅黑" w:cs="宋体" w:hint="eastAsia"/>
          <w:kern w:val="0"/>
          <w:sz w:val="36"/>
          <w:szCs w:val="36"/>
        </w:rPr>
        <w:t>合格评定程序。</w:t>
      </w:r>
      <w:r w:rsidRPr="00391430">
        <w:rPr>
          <w:rFonts w:ascii="方正仿宋_GBK" w:eastAsia="方正仿宋_GBK" w:hAnsi="微软雅黑" w:cs="宋体" w:hint="eastAsia"/>
          <w:kern w:val="0"/>
          <w:sz w:val="36"/>
          <w:szCs w:val="36"/>
        </w:rPr>
        <w:t>初次向尼日利亚出口，生产商须向尼日利亚驻当地办事处（中国办事处设在上海）提交产品认证申请书及产品测试报告，经办事处审核合格后，获发产品合格证书。证书有效期为</w:t>
      </w:r>
      <w:r w:rsidRPr="00391430">
        <w:rPr>
          <w:rFonts w:ascii="Times New Roman" w:eastAsia="微软雅黑" w:hAnsi="Times New Roman" w:cs="Times New Roman"/>
          <w:kern w:val="0"/>
          <w:sz w:val="36"/>
          <w:szCs w:val="36"/>
        </w:rPr>
        <w:t>3</w:t>
      </w:r>
      <w:r w:rsidRPr="00391430">
        <w:rPr>
          <w:rFonts w:ascii="方正仿宋_GBK" w:eastAsia="方正仿宋_GBK" w:hAnsi="微软雅黑" w:cs="宋体" w:hint="eastAsia"/>
          <w:kern w:val="0"/>
          <w:sz w:val="36"/>
          <w:szCs w:val="36"/>
        </w:rPr>
        <w:t>年，须每年审核</w:t>
      </w:r>
      <w:r w:rsidRPr="00391430">
        <w:rPr>
          <w:rFonts w:ascii="Times New Roman" w:eastAsia="微软雅黑" w:hAnsi="Times New Roman" w:cs="Times New Roman"/>
          <w:kern w:val="0"/>
          <w:sz w:val="36"/>
          <w:szCs w:val="36"/>
        </w:rPr>
        <w:t>1</w:t>
      </w:r>
      <w:r w:rsidRPr="00391430">
        <w:rPr>
          <w:rFonts w:ascii="方正仿宋_GBK" w:eastAsia="方正仿宋_GBK" w:hAnsi="微软雅黑" w:cs="宋体" w:hint="eastAsia"/>
          <w:kern w:val="0"/>
          <w:sz w:val="36"/>
          <w:szCs w:val="36"/>
        </w:rPr>
        <w:t>次。如果产品已经获得产品合格证书，且证书在有效期内，可略去第一步。装船前，还须由尼日利亚标准局授权的第三方机构在原产国进行抽检，抽</w:t>
      </w:r>
      <w:r w:rsidRPr="00391430">
        <w:rPr>
          <w:rFonts w:ascii="方正仿宋_GBK" w:eastAsia="方正仿宋_GBK" w:hAnsi="微软雅黑" w:cs="宋体" w:hint="eastAsia"/>
          <w:kern w:val="0"/>
          <w:sz w:val="36"/>
          <w:szCs w:val="36"/>
        </w:rPr>
        <w:lastRenderedPageBreak/>
        <w:t>检后对出口商发放</w:t>
      </w:r>
      <w:proofErr w:type="spellStart"/>
      <w:r w:rsidRPr="00391430">
        <w:rPr>
          <w:rFonts w:ascii="Times New Roman" w:eastAsia="微软雅黑" w:hAnsi="Times New Roman" w:cs="Times New Roman"/>
          <w:kern w:val="0"/>
          <w:sz w:val="36"/>
          <w:szCs w:val="36"/>
        </w:rPr>
        <w:t>CoC</w:t>
      </w:r>
      <w:proofErr w:type="spellEnd"/>
      <w:r w:rsidRPr="00391430">
        <w:rPr>
          <w:rFonts w:ascii="方正仿宋_GBK" w:eastAsia="方正仿宋_GBK" w:hAnsi="微软雅黑" w:cs="宋体" w:hint="eastAsia"/>
          <w:kern w:val="0"/>
          <w:sz w:val="36"/>
          <w:szCs w:val="36"/>
        </w:rPr>
        <w:t>清关证书，然后由进口商凭有效的</w:t>
      </w:r>
      <w:proofErr w:type="spellStart"/>
      <w:r w:rsidRPr="00391430">
        <w:rPr>
          <w:rFonts w:ascii="Times New Roman" w:eastAsia="微软雅黑" w:hAnsi="Times New Roman" w:cs="Times New Roman"/>
          <w:kern w:val="0"/>
          <w:sz w:val="36"/>
          <w:szCs w:val="36"/>
        </w:rPr>
        <w:t>CoC</w:t>
      </w:r>
      <w:proofErr w:type="spellEnd"/>
      <w:r w:rsidRPr="00391430">
        <w:rPr>
          <w:rFonts w:ascii="方正仿宋_GBK" w:eastAsia="方正仿宋_GBK" w:hAnsi="微软雅黑" w:cs="宋体" w:hint="eastAsia"/>
          <w:kern w:val="0"/>
          <w:sz w:val="36"/>
          <w:szCs w:val="36"/>
        </w:rPr>
        <w:t>清关证书向尼日利亚标准局申请强制性合格评定证书。</w:t>
      </w:r>
    </w:p>
    <w:p w:rsidR="00391430" w:rsidRPr="00391430" w:rsidRDefault="00391430" w:rsidP="00391430">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391430">
        <w:rPr>
          <w:rFonts w:ascii="方正黑体_GBK" w:eastAsia="方正黑体_GBK" w:hAnsi="微软雅黑" w:cs="宋体" w:hint="eastAsia"/>
          <w:kern w:val="0"/>
          <w:sz w:val="36"/>
          <w:szCs w:val="36"/>
        </w:rPr>
        <w:t>国际互认。</w:t>
      </w:r>
      <w:r w:rsidRPr="00391430">
        <w:rPr>
          <w:rFonts w:ascii="方正仿宋_GBK" w:eastAsia="方正仿宋_GBK" w:hAnsi="微软雅黑" w:cs="宋体" w:hint="eastAsia"/>
          <w:kern w:val="0"/>
          <w:sz w:val="36"/>
          <w:szCs w:val="36"/>
        </w:rPr>
        <w:t>认证机构认证（</w:t>
      </w:r>
      <w:r w:rsidRPr="00391430">
        <w:rPr>
          <w:rFonts w:ascii="Times New Roman" w:eastAsia="微软雅黑" w:hAnsi="Times New Roman" w:cs="Times New Roman"/>
          <w:kern w:val="0"/>
          <w:sz w:val="36"/>
          <w:szCs w:val="36"/>
        </w:rPr>
        <w:t>Certification Bodies</w:t>
      </w:r>
      <w:proofErr w:type="gramStart"/>
      <w:r w:rsidRPr="00391430">
        <w:rPr>
          <w:rFonts w:ascii="Times New Roman" w:eastAsia="微软雅黑" w:hAnsi="Times New Roman" w:cs="Times New Roman"/>
          <w:kern w:val="0"/>
          <w:sz w:val="36"/>
          <w:szCs w:val="36"/>
        </w:rPr>
        <w:t>’</w:t>
      </w:r>
      <w:proofErr w:type="gramEnd"/>
      <w:r w:rsidRPr="00391430">
        <w:rPr>
          <w:rFonts w:ascii="Times New Roman" w:eastAsia="微软雅黑" w:hAnsi="Times New Roman" w:cs="Times New Roman"/>
          <w:kern w:val="0"/>
          <w:sz w:val="36"/>
          <w:szCs w:val="36"/>
        </w:rPr>
        <w:t xml:space="preserve"> Scheme</w:t>
      </w:r>
      <w:r w:rsidRPr="00391430">
        <w:rPr>
          <w:rFonts w:ascii="方正仿宋_GBK" w:eastAsia="方正仿宋_GBK" w:hAnsi="微软雅黑" w:cs="宋体" w:hint="eastAsia"/>
          <w:kern w:val="0"/>
          <w:sz w:val="36"/>
          <w:szCs w:val="36"/>
        </w:rPr>
        <w:t>，</w:t>
      </w:r>
      <w:r w:rsidRPr="00391430">
        <w:rPr>
          <w:rFonts w:ascii="Times New Roman" w:eastAsia="微软雅黑" w:hAnsi="Times New Roman" w:cs="Times New Roman"/>
          <w:kern w:val="0"/>
          <w:sz w:val="36"/>
          <w:szCs w:val="36"/>
        </w:rPr>
        <w:t>CB</w:t>
      </w:r>
      <w:r w:rsidRPr="00391430">
        <w:rPr>
          <w:rFonts w:ascii="方正仿宋_GBK" w:eastAsia="方正仿宋_GBK" w:hAnsi="微软雅黑" w:cs="宋体" w:hint="eastAsia"/>
          <w:kern w:val="0"/>
          <w:sz w:val="36"/>
          <w:szCs w:val="36"/>
        </w:rPr>
        <w:t>）是国际电工委员会颁布的以</w:t>
      </w:r>
      <w:r w:rsidRPr="00391430">
        <w:rPr>
          <w:rFonts w:ascii="Times New Roman" w:eastAsia="微软雅黑" w:hAnsi="Times New Roman" w:cs="Times New Roman"/>
          <w:kern w:val="0"/>
          <w:sz w:val="36"/>
          <w:szCs w:val="36"/>
        </w:rPr>
        <w:t>IEC</w:t>
      </w:r>
      <w:r w:rsidRPr="00391430">
        <w:rPr>
          <w:rFonts w:ascii="方正仿宋_GBK" w:eastAsia="方正仿宋_GBK" w:hAnsi="微软雅黑" w:cs="宋体" w:hint="eastAsia"/>
          <w:kern w:val="0"/>
          <w:sz w:val="36"/>
          <w:szCs w:val="36"/>
        </w:rPr>
        <w:t>标准为依据的电工产品合格测试与认证体系。它致力于解决各个国家相同的认证，减少不必要的重复测试。尼日利亚电子电器类标准以</w:t>
      </w:r>
      <w:r w:rsidRPr="00391430">
        <w:rPr>
          <w:rFonts w:ascii="Times New Roman" w:eastAsia="微软雅黑" w:hAnsi="Times New Roman" w:cs="Times New Roman"/>
          <w:kern w:val="0"/>
          <w:sz w:val="36"/>
          <w:szCs w:val="36"/>
        </w:rPr>
        <w:t>IEC</w:t>
      </w:r>
      <w:r w:rsidRPr="00391430">
        <w:rPr>
          <w:rFonts w:ascii="方正仿宋_GBK" w:eastAsia="方正仿宋_GBK" w:hAnsi="微软雅黑" w:cs="宋体" w:hint="eastAsia"/>
          <w:kern w:val="0"/>
          <w:sz w:val="36"/>
          <w:szCs w:val="36"/>
        </w:rPr>
        <w:t>标准为基础，制造商可以利用</w:t>
      </w:r>
      <w:r w:rsidRPr="00391430">
        <w:rPr>
          <w:rFonts w:ascii="Times New Roman" w:eastAsia="微软雅黑" w:hAnsi="Times New Roman" w:cs="Times New Roman"/>
          <w:kern w:val="0"/>
          <w:sz w:val="36"/>
          <w:szCs w:val="36"/>
        </w:rPr>
        <w:t>CB</w:t>
      </w:r>
      <w:r w:rsidRPr="00391430">
        <w:rPr>
          <w:rFonts w:ascii="方正仿宋_GBK" w:eastAsia="方正仿宋_GBK" w:hAnsi="微软雅黑" w:cs="宋体" w:hint="eastAsia"/>
          <w:kern w:val="0"/>
          <w:sz w:val="36"/>
          <w:szCs w:val="36"/>
        </w:rPr>
        <w:t>证书，结合与尼日利亚标准的国家差异，申请强制性合格评定证书。</w:t>
      </w:r>
    </w:p>
    <w:p w:rsidR="00391430" w:rsidRPr="00391430" w:rsidRDefault="00391430" w:rsidP="00391430">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391430">
        <w:rPr>
          <w:rFonts w:ascii="微软雅黑" w:eastAsia="微软雅黑" w:hAnsi="微软雅黑" w:cs="宋体" w:hint="eastAsia"/>
          <w:kern w:val="0"/>
          <w:szCs w:val="21"/>
        </w:rPr>
        <w:t> </w:t>
      </w:r>
    </w:p>
    <w:p w:rsidR="00391430" w:rsidRPr="00391430" w:rsidRDefault="00391430" w:rsidP="00391430">
      <w:pPr>
        <w:widowControl/>
        <w:shd w:val="clear" w:color="auto" w:fill="FDFAFF"/>
        <w:spacing w:before="100" w:beforeAutospacing="1" w:after="100" w:afterAutospacing="1" w:line="450" w:lineRule="atLeast"/>
        <w:ind w:firstLine="645"/>
        <w:jc w:val="left"/>
        <w:rPr>
          <w:rFonts w:ascii="微软雅黑" w:eastAsia="微软雅黑" w:hAnsi="微软雅黑" w:cs="宋体" w:hint="eastAsia"/>
          <w:kern w:val="0"/>
          <w:szCs w:val="21"/>
        </w:rPr>
      </w:pPr>
      <w:r w:rsidRPr="00391430">
        <w:rPr>
          <w:rFonts w:ascii="宋体" w:eastAsia="宋体" w:hAnsi="宋体" w:cs="宋体" w:hint="eastAsia"/>
          <w:kern w:val="0"/>
          <w:sz w:val="24"/>
          <w:szCs w:val="24"/>
        </w:rPr>
        <w:t>来源：湖南省技贸措施信息网</w:t>
      </w:r>
    </w:p>
    <w:p w:rsidR="00CA4E99" w:rsidRPr="00391430" w:rsidRDefault="00391430"/>
    <w:sectPr w:rsidR="00CA4E99" w:rsidRPr="00391430" w:rsidSect="003161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1430"/>
    <w:rsid w:val="003161C4"/>
    <w:rsid w:val="00391430"/>
    <w:rsid w:val="006B777B"/>
    <w:rsid w:val="00ED1A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1C4"/>
    <w:pPr>
      <w:widowControl w:val="0"/>
      <w:jc w:val="both"/>
    </w:pPr>
  </w:style>
  <w:style w:type="paragraph" w:styleId="1">
    <w:name w:val="heading 1"/>
    <w:basedOn w:val="a"/>
    <w:link w:val="1Char"/>
    <w:uiPriority w:val="9"/>
    <w:qFormat/>
    <w:rsid w:val="0039143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91430"/>
    <w:rPr>
      <w:rFonts w:ascii="宋体" w:eastAsia="宋体" w:hAnsi="宋体" w:cs="宋体"/>
      <w:b/>
      <w:bCs/>
      <w:kern w:val="36"/>
      <w:sz w:val="48"/>
      <w:szCs w:val="48"/>
    </w:rPr>
  </w:style>
  <w:style w:type="paragraph" w:styleId="a3">
    <w:name w:val="Normal (Web)"/>
    <w:basedOn w:val="a"/>
    <w:uiPriority w:val="99"/>
    <w:semiHidden/>
    <w:unhideWhenUsed/>
    <w:rsid w:val="0039143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41341931">
      <w:bodyDiv w:val="1"/>
      <w:marLeft w:val="0"/>
      <w:marRight w:val="0"/>
      <w:marTop w:val="0"/>
      <w:marBottom w:val="0"/>
      <w:divBdr>
        <w:top w:val="none" w:sz="0" w:space="0" w:color="auto"/>
        <w:left w:val="none" w:sz="0" w:space="0" w:color="auto"/>
        <w:bottom w:val="none" w:sz="0" w:space="0" w:color="auto"/>
        <w:right w:val="none" w:sz="0" w:space="0" w:color="auto"/>
      </w:divBdr>
      <w:divsChild>
        <w:div w:id="1368721372">
          <w:marLeft w:val="0"/>
          <w:marRight w:val="0"/>
          <w:marTop w:val="75"/>
          <w:marBottom w:val="75"/>
          <w:divBdr>
            <w:top w:val="none" w:sz="0" w:space="0" w:color="auto"/>
            <w:left w:val="none" w:sz="0" w:space="0" w:color="auto"/>
            <w:bottom w:val="none" w:sz="0" w:space="0" w:color="auto"/>
            <w:right w:val="none" w:sz="0" w:space="0" w:color="auto"/>
          </w:divBdr>
          <w:divsChild>
            <w:div w:id="1112827246">
              <w:marLeft w:val="0"/>
              <w:marRight w:val="0"/>
              <w:marTop w:val="0"/>
              <w:marBottom w:val="0"/>
              <w:divBdr>
                <w:top w:val="none" w:sz="0" w:space="0" w:color="auto"/>
                <w:left w:val="none" w:sz="0" w:space="0" w:color="auto"/>
                <w:bottom w:val="none" w:sz="0" w:space="0" w:color="auto"/>
                <w:right w:val="none" w:sz="0" w:space="0" w:color="auto"/>
              </w:divBdr>
              <w:divsChild>
                <w:div w:id="1845044655">
                  <w:marLeft w:val="0"/>
                  <w:marRight w:val="0"/>
                  <w:marTop w:val="0"/>
                  <w:marBottom w:val="0"/>
                  <w:divBdr>
                    <w:top w:val="single" w:sz="2" w:space="8" w:color="CCCCCC"/>
                    <w:left w:val="single" w:sz="2" w:space="8" w:color="CCCCCC"/>
                    <w:bottom w:val="single" w:sz="2" w:space="8" w:color="CCCCCC"/>
                    <w:right w:val="single" w:sz="2" w:space="8" w:color="CCCCCC"/>
                  </w:divBdr>
                  <w:divsChild>
                    <w:div w:id="81730918">
                      <w:marLeft w:val="0"/>
                      <w:marRight w:val="0"/>
                      <w:marTop w:val="0"/>
                      <w:marBottom w:val="150"/>
                      <w:divBdr>
                        <w:top w:val="single" w:sz="2" w:space="4" w:color="0368A8"/>
                        <w:left w:val="none" w:sz="0" w:space="0" w:color="auto"/>
                        <w:bottom w:val="dashed" w:sz="6" w:space="11" w:color="E6E6E6"/>
                        <w:right w:val="none" w:sz="0" w:space="0" w:color="auto"/>
                      </w:divBdr>
                    </w:div>
                    <w:div w:id="13728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554</Characters>
  <Application>Microsoft Office Word</Application>
  <DocSecurity>0</DocSecurity>
  <Lines>4</Lines>
  <Paragraphs>1</Paragraphs>
  <ScaleCrop>false</ScaleCrop>
  <Company>HG</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2022-08-18T06:29:00Z</dcterms:created>
  <dcterms:modified xsi:type="dcterms:W3CDTF">2022-08-18T06:30:00Z</dcterms:modified>
</cp:coreProperties>
</file>