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7D45" w14:textId="77777777" w:rsidR="009239F7" w:rsidRPr="002F6A28" w:rsidRDefault="00775C7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81DB7CC" w14:textId="77777777" w:rsidR="009239F7" w:rsidRPr="002F6A28" w:rsidRDefault="00775C7C" w:rsidP="002F6A28">
      <w:pPr>
        <w:jc w:val="center"/>
      </w:pPr>
      <w:r w:rsidRPr="002F6A28">
        <w:t>The following notification is being circulated in accordance with Article 10.6</w:t>
      </w:r>
    </w:p>
    <w:p w14:paraId="2721175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A00E0" w14:paraId="2C2868A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B89B67B" w14:textId="77777777" w:rsidR="00F85C99" w:rsidRPr="002F6A28" w:rsidRDefault="00775C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D2A5DE8" w14:textId="77777777" w:rsidR="00F85C99" w:rsidRPr="002F6A28" w:rsidRDefault="00775C7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MOZAMBIQUE</w:t>
            </w:r>
          </w:p>
          <w:p w14:paraId="4D616339" w14:textId="77777777" w:rsidR="00F85C99" w:rsidRPr="002F6A28" w:rsidRDefault="00775C7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A00E0" w14:paraId="39A9B0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3E4E7" w14:textId="77777777" w:rsidR="00F85C99" w:rsidRPr="002F6A28" w:rsidRDefault="00775C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12CAA" w14:textId="77777777" w:rsidR="00F85C99" w:rsidRPr="002F6A28" w:rsidRDefault="00775C7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00B38D3" w14:textId="77777777" w:rsidR="00EE3A11" w:rsidRPr="00C379C8" w:rsidRDefault="00775C7C" w:rsidP="00155128">
            <w:r w:rsidRPr="00C379C8">
              <w:t>National Institute For Standardization and Quality</w:t>
            </w:r>
          </w:p>
          <w:p w14:paraId="498F9992" w14:textId="77777777" w:rsidR="00EE3A11" w:rsidRPr="00E32C1F" w:rsidRDefault="00775C7C" w:rsidP="00155128">
            <w:pPr>
              <w:rPr>
                <w:lang w:val="fr-CH"/>
              </w:rPr>
            </w:pPr>
            <w:r w:rsidRPr="00E32C1F">
              <w:rPr>
                <w:lang w:val="fr-CH"/>
              </w:rPr>
              <w:t>Av.de Moçambique</w:t>
            </w:r>
          </w:p>
          <w:p w14:paraId="2503423F" w14:textId="77777777" w:rsidR="00EE3A11" w:rsidRPr="00E32C1F" w:rsidRDefault="00775C7C" w:rsidP="00155128">
            <w:pPr>
              <w:rPr>
                <w:lang w:val="fr-CH"/>
              </w:rPr>
            </w:pPr>
            <w:r w:rsidRPr="00E32C1F">
              <w:rPr>
                <w:lang w:val="fr-CH"/>
              </w:rPr>
              <w:t>Parcela 7168/D1/7</w:t>
            </w:r>
          </w:p>
          <w:p w14:paraId="09112197" w14:textId="77777777" w:rsidR="00EE3A11" w:rsidRPr="00C379C8" w:rsidRDefault="00775C7C" w:rsidP="00155128">
            <w:r w:rsidRPr="00C379C8">
              <w:t>C.P:2983</w:t>
            </w:r>
          </w:p>
          <w:p w14:paraId="714241E5" w14:textId="77777777" w:rsidR="00EE3A11" w:rsidRPr="00C379C8" w:rsidRDefault="00775C7C" w:rsidP="00155128">
            <w:r w:rsidRPr="00C379C8">
              <w:t>Tel: +(258) 21 34 46 00</w:t>
            </w:r>
          </w:p>
          <w:p w14:paraId="15E6D632" w14:textId="77777777" w:rsidR="00EE3A11" w:rsidRPr="00C379C8" w:rsidRDefault="00775C7C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http://www.innoq.gov.mz/</w:t>
              </w:r>
            </w:hyperlink>
          </w:p>
          <w:p w14:paraId="53B3F422" w14:textId="77777777" w:rsidR="00F85C99" w:rsidRPr="002F6A28" w:rsidRDefault="00775C7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A00E0" w14:paraId="0FD869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49A14" w14:textId="77777777" w:rsidR="00F85C99" w:rsidRPr="002F6A28" w:rsidRDefault="00775C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7D5F9" w14:textId="77777777" w:rsidR="00F85C99" w:rsidRPr="0058336F" w:rsidRDefault="00775C7C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A00E0" w14:paraId="6C52F9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5CEE37" w14:textId="77777777" w:rsidR="00F85C99" w:rsidRPr="002F6A28" w:rsidRDefault="00775C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BB888" w14:textId="77777777" w:rsidR="00F85C99" w:rsidRPr="002F6A28" w:rsidRDefault="00775C7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The HS is listed in Annex II to the Regulation from Decree 8/2022, July 14th</w:t>
            </w:r>
          </w:p>
        </w:tc>
      </w:tr>
      <w:tr w:rsidR="00FA00E0" w14:paraId="369E6D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3964E" w14:textId="77777777" w:rsidR="00F85C99" w:rsidRPr="002F6A28" w:rsidRDefault="00775C7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1A0E2B" w14:textId="77777777" w:rsidR="00F85C99" w:rsidRPr="002F6A28" w:rsidRDefault="00775C7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Ministerial Diploma n..29 /2024, May 20th</w:t>
            </w:r>
            <w:r>
              <w:t xml:space="preserve"> </w:t>
            </w:r>
            <w:r w:rsidR="00EE3A11" w:rsidRPr="00C379C8">
              <w:t>Approves the list of imported products whose evaluation compliance is mandatory.; (64 page(s), in Portuguese)</w:t>
            </w:r>
          </w:p>
        </w:tc>
      </w:tr>
      <w:tr w:rsidR="00FA00E0" w14:paraId="23017B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24875" w14:textId="77777777" w:rsidR="00F85C99" w:rsidRPr="002F6A28" w:rsidRDefault="00775C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29CB3" w14:textId="77777777" w:rsidR="00F85C99" w:rsidRPr="002F6A28" w:rsidRDefault="00775C7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Approves the list of imported products whose evaluation</w:t>
            </w:r>
            <w:r>
              <w:t xml:space="preserve"> </w:t>
            </w:r>
            <w:r w:rsidR="00FE448B" w:rsidRPr="00C379C8">
              <w:t>compliance is mandatory, in annex to this</w:t>
            </w:r>
            <w:r>
              <w:t xml:space="preserve"> </w:t>
            </w:r>
            <w:r w:rsidR="00FE448B" w:rsidRPr="00C379C8">
              <w:t>Diploma and which is an integral part of it.</w:t>
            </w:r>
          </w:p>
          <w:p w14:paraId="194263F5" w14:textId="77777777" w:rsidR="00FE448B" w:rsidRPr="00C379C8" w:rsidRDefault="00775C7C" w:rsidP="002F6A28">
            <w:pPr>
              <w:spacing w:before="120" w:after="120"/>
            </w:pPr>
            <w:r w:rsidRPr="00C379C8">
              <w:t>The list referred to in paragraph 1 of article 1 is based onthe list of mandatory control products contained in Annex IIof the Standardization and Conformity Assessment Regulation,approved by Decree no. 8/2022, of March 14.</w:t>
            </w:r>
          </w:p>
        </w:tc>
      </w:tr>
      <w:tr w:rsidR="00FA00E0" w14:paraId="20FCB0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F7100" w14:textId="77777777" w:rsidR="00F85C99" w:rsidRPr="002F6A28" w:rsidRDefault="00775C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EC5F2" w14:textId="77777777" w:rsidR="00F85C99" w:rsidRPr="002F6A28" w:rsidRDefault="00775C7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Consumer information, labelling; Prevention of deceptive practices and consumer protection; Protection of human health or safety; Protection of animal or plant life or health; Protection of the environment; Quality requirements</w:t>
            </w:r>
          </w:p>
        </w:tc>
      </w:tr>
      <w:tr w:rsidR="00FA00E0" w14:paraId="5B9048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DF0AF" w14:textId="77777777" w:rsidR="00F85C99" w:rsidRPr="002F6A28" w:rsidRDefault="00775C7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72CC9" w14:textId="77777777" w:rsidR="00086AF5" w:rsidRPr="00086AF5" w:rsidRDefault="00775C7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7DDF23C" w14:textId="77777777" w:rsidR="00EE3A11" w:rsidRPr="002F6A28" w:rsidRDefault="00775C7C" w:rsidP="007F13E8">
            <w:pPr>
              <w:spacing w:before="120" w:after="120"/>
            </w:pPr>
            <w:r w:rsidRPr="002F6A28">
              <w:t>Decree 8/2022 March 14th</w:t>
            </w:r>
          </w:p>
          <w:p w14:paraId="28A2D21F" w14:textId="77777777" w:rsidR="00EE3A11" w:rsidRPr="002F6A28" w:rsidRDefault="00775C7C" w:rsidP="007F13E8">
            <w:pPr>
              <w:spacing w:before="120" w:after="120"/>
            </w:pPr>
            <w:r w:rsidRPr="002F6A28">
              <w:t>Related notifications:</w:t>
            </w:r>
          </w:p>
          <w:p w14:paraId="0963BF70" w14:textId="77777777" w:rsidR="00EE3A11" w:rsidRPr="002F6A28" w:rsidRDefault="00B851C1" w:rsidP="007F13E8">
            <w:pPr>
              <w:numPr>
                <w:ilvl w:val="0"/>
                <w:numId w:val="16"/>
              </w:numPr>
              <w:spacing w:before="120" w:after="120"/>
            </w:pPr>
            <w:hyperlink r:id="rId10" w:history="1">
              <w:r w:rsidR="00775C7C" w:rsidRPr="002F6A28">
                <w:rPr>
                  <w:color w:val="0000FF"/>
                  <w:u w:val="single"/>
                </w:rPr>
                <w:t>G/TBT/N/MOZ/17</w:t>
              </w:r>
            </w:hyperlink>
          </w:p>
          <w:p w14:paraId="52B3ECCD" w14:textId="77777777" w:rsidR="00EE3A11" w:rsidRPr="002F6A28" w:rsidRDefault="00B851C1" w:rsidP="007F13E8">
            <w:pPr>
              <w:numPr>
                <w:ilvl w:val="0"/>
                <w:numId w:val="16"/>
              </w:numPr>
              <w:spacing w:before="120" w:after="120"/>
            </w:pPr>
            <w:hyperlink r:id="rId11" w:history="1">
              <w:r w:rsidR="00775C7C" w:rsidRPr="002F6A28">
                <w:rPr>
                  <w:color w:val="0000FF"/>
                  <w:u w:val="single"/>
                </w:rPr>
                <w:t>G/TBT/N/MOZ/27</w:t>
              </w:r>
            </w:hyperlink>
          </w:p>
        </w:tc>
      </w:tr>
      <w:tr w:rsidR="00FA00E0" w14:paraId="5703F7D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60EF3" w14:textId="77777777" w:rsidR="00EE3A11" w:rsidRPr="002F6A28" w:rsidRDefault="00775C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86C53" w14:textId="77777777" w:rsidR="00EE3A11" w:rsidRPr="002F6A28" w:rsidRDefault="00775C7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20 May 2024</w:t>
            </w:r>
          </w:p>
          <w:p w14:paraId="24908325" w14:textId="77777777" w:rsidR="00EE3A11" w:rsidRPr="002F6A28" w:rsidRDefault="00775C7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20 May 2024</w:t>
            </w:r>
          </w:p>
        </w:tc>
      </w:tr>
      <w:tr w:rsidR="00FA00E0" w14:paraId="331AED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88F75" w14:textId="77777777" w:rsidR="00F85C99" w:rsidRPr="002F6A28" w:rsidRDefault="00775C7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461DB" w14:textId="77777777" w:rsidR="00F85C99" w:rsidRPr="002F6A28" w:rsidRDefault="00775C7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Not Applicable</w:t>
            </w:r>
          </w:p>
        </w:tc>
      </w:tr>
      <w:tr w:rsidR="00FA00E0" w14:paraId="0AB0FFB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B049AB6" w14:textId="77777777" w:rsidR="00F85C99" w:rsidRPr="002F6A28" w:rsidRDefault="00775C7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AAFF82E" w14:textId="77777777" w:rsidR="00F85C99" w:rsidRPr="002F6A28" w:rsidRDefault="00775C7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BD0E229" w14:textId="77777777" w:rsidR="00EE3A11" w:rsidRPr="00A12DDE" w:rsidRDefault="00775C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National Institute of Standardization and Quality</w:t>
            </w:r>
          </w:p>
          <w:p w14:paraId="17813CDA" w14:textId="77777777" w:rsidR="00EE3A11" w:rsidRPr="00E32C1F" w:rsidRDefault="00775C7C" w:rsidP="00B16145">
            <w:pPr>
              <w:keepNext/>
              <w:keepLines/>
              <w:rPr>
                <w:bCs/>
                <w:lang w:val="fr-CH"/>
              </w:rPr>
            </w:pPr>
            <w:r w:rsidRPr="00E32C1F">
              <w:rPr>
                <w:bCs/>
                <w:lang w:val="fr-CH"/>
              </w:rPr>
              <w:t>Av.de Moçambique</w:t>
            </w:r>
          </w:p>
          <w:p w14:paraId="540837B5" w14:textId="77777777" w:rsidR="00EE3A11" w:rsidRPr="00E32C1F" w:rsidRDefault="00775C7C" w:rsidP="00B16145">
            <w:pPr>
              <w:keepNext/>
              <w:keepLines/>
              <w:rPr>
                <w:bCs/>
                <w:lang w:val="fr-CH"/>
              </w:rPr>
            </w:pPr>
            <w:r w:rsidRPr="00E32C1F">
              <w:rPr>
                <w:bCs/>
                <w:lang w:val="fr-CH"/>
              </w:rPr>
              <w:t>Parcela 7168/D1/7</w:t>
            </w:r>
          </w:p>
          <w:p w14:paraId="5A4E03A7" w14:textId="77777777" w:rsidR="00EE3A11" w:rsidRPr="00A12DDE" w:rsidRDefault="00775C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C.P:2983</w:t>
            </w:r>
          </w:p>
          <w:p w14:paraId="7DEF02E5" w14:textId="77777777" w:rsidR="00EE3A11" w:rsidRPr="00A12DDE" w:rsidRDefault="00775C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+(258) 21 34 46 00</w:t>
            </w:r>
          </w:p>
          <w:p w14:paraId="554EF43D" w14:textId="77777777" w:rsidR="00EE3A11" w:rsidRPr="00A12DDE" w:rsidRDefault="00775C7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http://www.innoq.gov.mz/</w:t>
              </w:r>
            </w:hyperlink>
          </w:p>
          <w:p w14:paraId="50FCBB79" w14:textId="77777777" w:rsidR="00EE3A11" w:rsidRPr="00A12DDE" w:rsidRDefault="00B851C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775C7C" w:rsidRPr="00A12DDE">
                <w:rPr>
                  <w:bCs/>
                  <w:color w:val="0000FF"/>
                  <w:u w:val="single"/>
                </w:rPr>
                <w:t>https://members.wto.org/crnattachments/2024/TBT/MOZ/24_03907_00_x.pdf</w:t>
              </w:r>
            </w:hyperlink>
          </w:p>
        </w:tc>
      </w:tr>
    </w:tbl>
    <w:p w14:paraId="434E61B3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E101" w14:textId="77777777" w:rsidR="00775C7C" w:rsidRDefault="00775C7C">
      <w:r>
        <w:separator/>
      </w:r>
    </w:p>
  </w:endnote>
  <w:endnote w:type="continuationSeparator" w:id="0">
    <w:p w14:paraId="56336076" w14:textId="77777777" w:rsidR="00775C7C" w:rsidRDefault="0077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9472" w14:textId="77777777" w:rsidR="009239F7" w:rsidRPr="002F6A28" w:rsidRDefault="00775C7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C2F7" w14:textId="77777777" w:rsidR="009239F7" w:rsidRPr="002F6A28" w:rsidRDefault="00775C7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1222" w14:textId="77777777" w:rsidR="00EE3A11" w:rsidRPr="002F6A28" w:rsidRDefault="00775C7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EA8B" w14:textId="77777777" w:rsidR="00775C7C" w:rsidRDefault="00775C7C">
      <w:r>
        <w:separator/>
      </w:r>
    </w:p>
  </w:footnote>
  <w:footnote w:type="continuationSeparator" w:id="0">
    <w:p w14:paraId="2206CB32" w14:textId="77777777" w:rsidR="00775C7C" w:rsidRDefault="00775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6371" w14:textId="77777777" w:rsidR="009239F7" w:rsidRPr="002F6A28" w:rsidRDefault="00775C7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089B56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00F19C" w14:textId="77777777" w:rsidR="009239F7" w:rsidRPr="002F6A28" w:rsidRDefault="00775C7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541A23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EC2F" w14:textId="77777777" w:rsidR="009239F7" w:rsidRPr="002F6A28" w:rsidRDefault="00775C7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G/TBT/N/MOZ/28</w:t>
    </w:r>
    <w:bookmarkEnd w:id="0"/>
  </w:p>
  <w:p w14:paraId="1ED9742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4AEFE4" w14:textId="77777777" w:rsidR="009239F7" w:rsidRPr="002F6A28" w:rsidRDefault="00775C7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0E1B5E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00E0" w14:paraId="04798F6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AAEC2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334F6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A00E0" w14:paraId="03E5824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67E9D8F" w14:textId="77777777" w:rsidR="00ED54E0" w:rsidRPr="009239F7" w:rsidRDefault="00775C7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7A7952C" wp14:editId="13126B0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75843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6F539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A00E0" w14:paraId="4DA7C69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C36B6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FD4E0A" w14:textId="77777777" w:rsidR="009239F7" w:rsidRPr="002F6A28" w:rsidRDefault="00775C7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G/TBT/N/MOZ/28</w:t>
          </w:r>
          <w:bookmarkEnd w:id="2"/>
        </w:p>
      </w:tc>
    </w:tr>
    <w:tr w:rsidR="00FA00E0" w14:paraId="2A98A29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7A4EB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29D336" w14:textId="77777777" w:rsidR="00ED54E0" w:rsidRPr="009239F7" w:rsidRDefault="00775C7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25 June 2024</w:t>
          </w:r>
        </w:p>
      </w:tc>
    </w:tr>
    <w:tr w:rsidR="00FA00E0" w14:paraId="43F0E94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A1A0B8" w14:textId="3ABDABB5" w:rsidR="00ED54E0" w:rsidRPr="009239F7" w:rsidRDefault="00775C7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B851C1">
            <w:rPr>
              <w:color w:val="FF0000"/>
              <w:szCs w:val="16"/>
            </w:rPr>
            <w:t>4684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9F78FB" w14:textId="77777777" w:rsidR="00ED54E0" w:rsidRPr="009239F7" w:rsidRDefault="00775C7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A00E0" w14:paraId="2953508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316C09" w14:textId="77777777" w:rsidR="00ED54E0" w:rsidRPr="009239F7" w:rsidRDefault="00775C7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0A4DB0" w14:textId="77777777" w:rsidR="00ED54E0" w:rsidRPr="002F6A28" w:rsidRDefault="00775C7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C44FA9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C46B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F2B2FE" w:tentative="1">
      <w:start w:val="1"/>
      <w:numFmt w:val="lowerLetter"/>
      <w:lvlText w:val="%2."/>
      <w:lvlJc w:val="left"/>
      <w:pPr>
        <w:ind w:left="1080" w:hanging="360"/>
      </w:pPr>
    </w:lvl>
    <w:lvl w:ilvl="2" w:tplc="277AFECE" w:tentative="1">
      <w:start w:val="1"/>
      <w:numFmt w:val="lowerRoman"/>
      <w:lvlText w:val="%3."/>
      <w:lvlJc w:val="right"/>
      <w:pPr>
        <w:ind w:left="1800" w:hanging="180"/>
      </w:pPr>
    </w:lvl>
    <w:lvl w:ilvl="3" w:tplc="A76E9F5C" w:tentative="1">
      <w:start w:val="1"/>
      <w:numFmt w:val="decimal"/>
      <w:lvlText w:val="%4."/>
      <w:lvlJc w:val="left"/>
      <w:pPr>
        <w:ind w:left="2520" w:hanging="360"/>
      </w:pPr>
    </w:lvl>
    <w:lvl w:ilvl="4" w:tplc="2E0CD6F8" w:tentative="1">
      <w:start w:val="1"/>
      <w:numFmt w:val="lowerLetter"/>
      <w:lvlText w:val="%5."/>
      <w:lvlJc w:val="left"/>
      <w:pPr>
        <w:ind w:left="3240" w:hanging="360"/>
      </w:pPr>
    </w:lvl>
    <w:lvl w:ilvl="5" w:tplc="9EEA1CC4" w:tentative="1">
      <w:start w:val="1"/>
      <w:numFmt w:val="lowerRoman"/>
      <w:lvlText w:val="%6."/>
      <w:lvlJc w:val="right"/>
      <w:pPr>
        <w:ind w:left="3960" w:hanging="180"/>
      </w:pPr>
    </w:lvl>
    <w:lvl w:ilvl="6" w:tplc="0C4635FE" w:tentative="1">
      <w:start w:val="1"/>
      <w:numFmt w:val="decimal"/>
      <w:lvlText w:val="%7."/>
      <w:lvlJc w:val="left"/>
      <w:pPr>
        <w:ind w:left="4680" w:hanging="360"/>
      </w:pPr>
    </w:lvl>
    <w:lvl w:ilvl="7" w:tplc="985EF014" w:tentative="1">
      <w:start w:val="1"/>
      <w:numFmt w:val="lowerLetter"/>
      <w:lvlText w:val="%8."/>
      <w:lvlJc w:val="left"/>
      <w:pPr>
        <w:ind w:left="5400" w:hanging="360"/>
      </w:pPr>
    </w:lvl>
    <w:lvl w:ilvl="8" w:tplc="B3CA01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BD7E1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7876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6CBB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042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4C88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1AC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94DC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66A2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986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93169793">
    <w:abstractNumId w:val="9"/>
  </w:num>
  <w:num w:numId="2" w16cid:durableId="87695317">
    <w:abstractNumId w:val="7"/>
  </w:num>
  <w:num w:numId="3" w16cid:durableId="427772910">
    <w:abstractNumId w:val="6"/>
  </w:num>
  <w:num w:numId="4" w16cid:durableId="1405689848">
    <w:abstractNumId w:val="5"/>
  </w:num>
  <w:num w:numId="5" w16cid:durableId="297224598">
    <w:abstractNumId w:val="4"/>
  </w:num>
  <w:num w:numId="6" w16cid:durableId="1442072037">
    <w:abstractNumId w:val="12"/>
  </w:num>
  <w:num w:numId="7" w16cid:durableId="242496368">
    <w:abstractNumId w:val="11"/>
  </w:num>
  <w:num w:numId="8" w16cid:durableId="20858210">
    <w:abstractNumId w:val="10"/>
  </w:num>
  <w:num w:numId="9" w16cid:durableId="18044192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7416098">
    <w:abstractNumId w:val="13"/>
  </w:num>
  <w:num w:numId="11" w16cid:durableId="2038384541">
    <w:abstractNumId w:val="8"/>
  </w:num>
  <w:num w:numId="12" w16cid:durableId="1084450555">
    <w:abstractNumId w:val="3"/>
  </w:num>
  <w:num w:numId="13" w16cid:durableId="2092458594">
    <w:abstractNumId w:val="2"/>
  </w:num>
  <w:num w:numId="14" w16cid:durableId="1409688379">
    <w:abstractNumId w:val="1"/>
  </w:num>
  <w:num w:numId="15" w16cid:durableId="1803116162">
    <w:abstractNumId w:val="0"/>
  </w:num>
  <w:num w:numId="16" w16cid:durableId="14325813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2FF5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5C7C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851C1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2C1F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00E0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EF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MOZ/24_03907_00_x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nnoq.gov.m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ing.wto.org/en/Search/Index?viewData=G/TBT/N/MOZ/27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eping.wto.org/en/Search/Index?viewData=G/TBT/N/MOZ/17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innoq.gov.mz/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8DBE-A98A-498B-83CF-E23816CCCBB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2024-06-25T11:29:00Z</dcterms:created>
  <dcterms:modified xsi:type="dcterms:W3CDTF">2024-06-25T12:13:00Z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