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C77E" w14:textId="77777777" w:rsidR="009239F7" w:rsidRPr="002F6A28" w:rsidRDefault="00FF4D1D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A9FE964" w14:textId="77777777" w:rsidR="009239F7" w:rsidRPr="002F6A28" w:rsidRDefault="00FF4D1D" w:rsidP="002F6A28">
      <w:pPr>
        <w:jc w:val="center"/>
      </w:pPr>
      <w:r w:rsidRPr="002F6A28">
        <w:t>The following notification is being circulated in accordance with Article 10.6</w:t>
      </w:r>
    </w:p>
    <w:p w14:paraId="53C9792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E49B4" w14:paraId="59B47EB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3396149" w14:textId="77777777" w:rsidR="00F85C99" w:rsidRPr="002F6A28" w:rsidRDefault="00FF4D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B5611C5" w14:textId="77777777" w:rsidR="00F85C99" w:rsidRPr="002F6A28" w:rsidRDefault="00FF4D1D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EGYPT</w:t>
            </w:r>
          </w:p>
          <w:p w14:paraId="2FF4B445" w14:textId="77777777" w:rsidR="00F85C99" w:rsidRPr="002F6A28" w:rsidRDefault="00FF4D1D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E49B4" w14:paraId="4A7D59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6E803B" w14:textId="77777777" w:rsidR="00F85C99" w:rsidRPr="002F6A28" w:rsidRDefault="00FF4D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3A4F65" w14:textId="77777777" w:rsidR="00F85C99" w:rsidRPr="002F6A28" w:rsidRDefault="00FF4D1D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7604A82F" w14:textId="77777777" w:rsidR="00EE3A11" w:rsidRPr="00C379C8" w:rsidRDefault="00FF4D1D" w:rsidP="00155128">
            <w:r w:rsidRPr="00C379C8">
              <w:t>Egyptian Organization for Standardization and Quality</w:t>
            </w:r>
          </w:p>
          <w:p w14:paraId="2BB512C1" w14:textId="77777777" w:rsidR="00EE3A11" w:rsidRPr="00C379C8" w:rsidRDefault="00FF4D1D" w:rsidP="00155128">
            <w:r w:rsidRPr="00C379C8">
              <w:t>16 Tadreeb El-Modarrebeen St., Ameriya, Cairo – Egypt</w:t>
            </w:r>
          </w:p>
          <w:p w14:paraId="5C9D3D5E" w14:textId="77777777" w:rsidR="00EE3A11" w:rsidRPr="00C379C8" w:rsidRDefault="00FF4D1D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17483563" w14:textId="77777777" w:rsidR="00EE3A11" w:rsidRPr="00C379C8" w:rsidRDefault="00FF4D1D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834E291" w14:textId="77777777" w:rsidR="00EE3A11" w:rsidRPr="00C379C8" w:rsidRDefault="00FF4D1D" w:rsidP="00155128">
            <w:r w:rsidRPr="00C379C8">
              <w:t>Tel.: + (202) 22845528</w:t>
            </w:r>
          </w:p>
          <w:p w14:paraId="2FE4B915" w14:textId="77777777" w:rsidR="00EE3A11" w:rsidRPr="00C379C8" w:rsidRDefault="00FF4D1D" w:rsidP="00155128">
            <w:pPr>
              <w:spacing w:after="120"/>
            </w:pPr>
            <w:r w:rsidRPr="00C379C8">
              <w:t>Fax: + (202) 22845504</w:t>
            </w:r>
          </w:p>
          <w:p w14:paraId="749D1D63" w14:textId="77777777" w:rsidR="00F85C99" w:rsidRPr="002F6A28" w:rsidRDefault="00FF4D1D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2E49B4" w14:paraId="02D222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CFF0EB" w14:textId="77777777" w:rsidR="00F85C99" w:rsidRPr="002F6A28" w:rsidRDefault="00FF4D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5A433B" w14:textId="77777777" w:rsidR="00F85C99" w:rsidRPr="0058336F" w:rsidRDefault="00FF4D1D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E49B4" w14:paraId="23F713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8DC952" w14:textId="77777777" w:rsidR="00F85C99" w:rsidRPr="002F6A28" w:rsidRDefault="00FF4D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712722" w14:textId="77777777" w:rsidR="00F85C99" w:rsidRPr="002F6A28" w:rsidRDefault="00FF4D1D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Dental equipment (ICS code(s): 11.060.20)</w:t>
            </w:r>
          </w:p>
        </w:tc>
      </w:tr>
      <w:tr w:rsidR="002E49B4" w14:paraId="54A29C0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D82C4" w14:textId="77777777" w:rsidR="00F85C99" w:rsidRPr="002F6A28" w:rsidRDefault="00FF4D1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4E871F" w14:textId="77777777" w:rsidR="00F85C99" w:rsidRPr="002F6A28" w:rsidRDefault="00FF4D1D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The Ministerial Decree No. 141/2024 (2 page(s), in Arabic) is concerned with ES 4944 /2005 for "dental equipment connection for supply and waste".; (12 page(s), in Arabic)</w:t>
            </w:r>
          </w:p>
        </w:tc>
      </w:tr>
      <w:tr w:rsidR="002E49B4" w14:paraId="159EF5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47DA5B" w14:textId="77777777" w:rsidR="00F85C99" w:rsidRPr="002F6A28" w:rsidRDefault="00FF4D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0C8E6" w14:textId="77777777" w:rsidR="00F85C99" w:rsidRPr="002F6A28" w:rsidRDefault="00FF4D1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The Ministerial Decree No. 141/2024 cancels the Egyptian standard ES 4944 /2005 for " dental equipment connection for supply and waste "</w:t>
            </w:r>
          </w:p>
          <w:p w14:paraId="7577F27F" w14:textId="77777777" w:rsidR="00FE448B" w:rsidRPr="00C379C8" w:rsidRDefault="00FF4D1D" w:rsidP="002F6A28">
            <w:pPr>
              <w:spacing w:before="120" w:after="120"/>
            </w:pPr>
            <w:r w:rsidRPr="00C379C8">
              <w:t>Worth mentioning is that this standard was replaced by ES 4761-1 for "dentistry - stationary dental units and dental patient chairs- part: 1 - general requirements" which was formerly notified in G/TBT/N/EGY/3/Add.75 dated 29 May 2024.</w:t>
            </w:r>
          </w:p>
        </w:tc>
      </w:tr>
      <w:tr w:rsidR="002E49B4" w14:paraId="1E7DFA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3E063" w14:textId="77777777" w:rsidR="00F85C99" w:rsidRPr="002F6A28" w:rsidRDefault="00FF4D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3EFA8" w14:textId="77777777" w:rsidR="00F85C99" w:rsidRPr="002F6A28" w:rsidRDefault="00FF4D1D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Safety requirements; Quality requirements</w:t>
            </w:r>
          </w:p>
        </w:tc>
      </w:tr>
      <w:tr w:rsidR="002E49B4" w14:paraId="047DF01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29898" w14:textId="77777777" w:rsidR="00F85C99" w:rsidRPr="002F6A28" w:rsidRDefault="00FF4D1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74F381" w14:textId="77777777" w:rsidR="00086AF5" w:rsidRPr="00086AF5" w:rsidRDefault="00FF4D1D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7AE9878" w14:textId="77777777" w:rsidR="00EE3A11" w:rsidRPr="002F6A28" w:rsidRDefault="00FF4D1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141/2024.</w:t>
            </w:r>
          </w:p>
          <w:p w14:paraId="301C1022" w14:textId="77777777" w:rsidR="00EE3A11" w:rsidRPr="002F6A28" w:rsidRDefault="00FF4D1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34/2006.</w:t>
            </w:r>
          </w:p>
          <w:p w14:paraId="3FA3A857" w14:textId="77777777" w:rsidR="00EE3A11" w:rsidRPr="002F6A28" w:rsidRDefault="00FF4D1D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ES 4761-1/2024.</w:t>
            </w:r>
          </w:p>
        </w:tc>
      </w:tr>
      <w:tr w:rsidR="002E49B4" w14:paraId="67136D9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707E11" w14:textId="77777777" w:rsidR="00EE3A11" w:rsidRPr="002F6A28" w:rsidRDefault="00FF4D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1389A" w14:textId="77777777" w:rsidR="00EE3A11" w:rsidRPr="002F6A28" w:rsidRDefault="00FF4D1D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22 April 2024</w:t>
            </w:r>
          </w:p>
          <w:p w14:paraId="0005517A" w14:textId="77777777" w:rsidR="00EE3A11" w:rsidRPr="002F6A28" w:rsidRDefault="00FF4D1D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22 May 2024</w:t>
            </w:r>
          </w:p>
        </w:tc>
      </w:tr>
      <w:tr w:rsidR="002E49B4" w14:paraId="48B97C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602381" w14:textId="77777777" w:rsidR="00F85C99" w:rsidRPr="002F6A28" w:rsidRDefault="00FF4D1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3EF7E9" w14:textId="77777777" w:rsidR="00F85C99" w:rsidRPr="002F6A28" w:rsidRDefault="00FF4D1D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E49B4" w14:paraId="19080CE7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EF50E61" w14:textId="77777777" w:rsidR="00F85C99" w:rsidRPr="002F6A28" w:rsidRDefault="00FF4D1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A354D2B" w14:textId="77777777" w:rsidR="00F85C99" w:rsidRPr="002F6A28" w:rsidRDefault="00FF4D1D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19DE51BA" w14:textId="77777777" w:rsidR="00EE3A11" w:rsidRPr="00A12DDE" w:rsidRDefault="00FF4D1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 Address: 16 Tadreeb El Modarrebeen St., Ameriya, Cairo- Egypt</w:t>
            </w:r>
          </w:p>
          <w:p w14:paraId="00F1FDA7" w14:textId="77777777" w:rsidR="00EE3A11" w:rsidRPr="00FF4D1D" w:rsidRDefault="00FF4D1D" w:rsidP="00B16145">
            <w:pPr>
              <w:keepNext/>
              <w:keepLines/>
              <w:rPr>
                <w:bCs/>
                <w:lang w:val="pt-PT"/>
              </w:rPr>
            </w:pPr>
            <w:r w:rsidRPr="00FF4D1D">
              <w:rPr>
                <w:bCs/>
                <w:lang w:val="pt-PT"/>
              </w:rPr>
              <w:t>Tel: + (202) 22845528</w:t>
            </w:r>
          </w:p>
          <w:p w14:paraId="5E9CA22B" w14:textId="77777777" w:rsidR="00EE3A11" w:rsidRPr="00FF4D1D" w:rsidRDefault="00FF4D1D" w:rsidP="00B16145">
            <w:pPr>
              <w:keepNext/>
              <w:keepLines/>
              <w:rPr>
                <w:bCs/>
                <w:lang w:val="pt-PT"/>
              </w:rPr>
            </w:pPr>
            <w:r w:rsidRPr="00FF4D1D">
              <w:rPr>
                <w:bCs/>
                <w:lang w:val="pt-PT"/>
              </w:rPr>
              <w:t>Fax: + (202) 22845504</w:t>
            </w:r>
          </w:p>
          <w:p w14:paraId="3A0635CC" w14:textId="77777777" w:rsidR="00EE3A11" w:rsidRPr="00FF4D1D" w:rsidRDefault="00FF4D1D" w:rsidP="00B16145">
            <w:pPr>
              <w:keepNext/>
              <w:keepLines/>
              <w:rPr>
                <w:bCs/>
                <w:lang w:val="pt-PT"/>
              </w:rPr>
            </w:pPr>
            <w:r w:rsidRPr="00FF4D1D">
              <w:rPr>
                <w:bCs/>
                <w:lang w:val="pt-PT"/>
              </w:rPr>
              <w:t xml:space="preserve">E-mail: </w:t>
            </w:r>
            <w:hyperlink r:id="rId12" w:history="1">
              <w:r w:rsidRPr="00FF4D1D">
                <w:rPr>
                  <w:bCs/>
                  <w:color w:val="0000FF"/>
                  <w:u w:val="single"/>
                  <w:lang w:val="pt-PT"/>
                </w:rPr>
                <w:t>eos@idsc.net.eg</w:t>
              </w:r>
            </w:hyperlink>
            <w:r w:rsidRPr="00FF4D1D">
              <w:rPr>
                <w:bCs/>
                <w:lang w:val="pt-PT"/>
              </w:rPr>
              <w:t>/</w:t>
            </w:r>
            <w:hyperlink r:id="rId13" w:history="1">
              <w:r w:rsidRPr="00FF4D1D">
                <w:rPr>
                  <w:bCs/>
                  <w:color w:val="0000FF"/>
                  <w:u w:val="single"/>
                  <w:lang w:val="pt-PT"/>
                </w:rPr>
                <w:t>eos.tbt@eos.org.eg</w:t>
              </w:r>
            </w:hyperlink>
          </w:p>
          <w:p w14:paraId="1B4AA0D0" w14:textId="77777777" w:rsidR="00EE3A11" w:rsidRPr="00A12DDE" w:rsidRDefault="00FF4D1D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4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</w:tc>
      </w:tr>
    </w:tbl>
    <w:p w14:paraId="64E3BC61" w14:textId="77777777" w:rsidR="00EE3A11" w:rsidRPr="002F6A28" w:rsidRDefault="00EE3A11" w:rsidP="002F6A28"/>
    <w:sectPr w:rsidR="00EE3A11" w:rsidRPr="002F6A28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3ECCD" w14:textId="77777777" w:rsidR="00FF4D1D" w:rsidRDefault="00FF4D1D">
      <w:r>
        <w:separator/>
      </w:r>
    </w:p>
  </w:endnote>
  <w:endnote w:type="continuationSeparator" w:id="0">
    <w:p w14:paraId="66DEAA4F" w14:textId="77777777" w:rsidR="00FF4D1D" w:rsidRDefault="00FF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20E33" w14:textId="77777777" w:rsidR="009239F7" w:rsidRPr="002F6A28" w:rsidRDefault="00FF4D1D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E610" w14:textId="77777777" w:rsidR="009239F7" w:rsidRPr="002F6A28" w:rsidRDefault="00FF4D1D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2543" w14:textId="77777777" w:rsidR="00EE3A11" w:rsidRPr="002F6A28" w:rsidRDefault="00FF4D1D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B380" w14:textId="77777777" w:rsidR="00FF4D1D" w:rsidRDefault="00FF4D1D">
      <w:r>
        <w:separator/>
      </w:r>
    </w:p>
  </w:footnote>
  <w:footnote w:type="continuationSeparator" w:id="0">
    <w:p w14:paraId="67F42F20" w14:textId="77777777" w:rsidR="00FF4D1D" w:rsidRDefault="00FF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CB614" w14:textId="77777777" w:rsidR="009239F7" w:rsidRPr="002F6A28" w:rsidRDefault="00FF4D1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2B1D17E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BE9968" w14:textId="77777777" w:rsidR="009239F7" w:rsidRPr="002F6A28" w:rsidRDefault="00FF4D1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0FDAF6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49582" w14:textId="77777777" w:rsidR="009239F7" w:rsidRPr="002F6A28" w:rsidRDefault="00FF4D1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G/TBT/N/EGY/479</w:t>
    </w:r>
    <w:bookmarkEnd w:id="0"/>
  </w:p>
  <w:p w14:paraId="046859F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504C59" w14:textId="77777777" w:rsidR="009239F7" w:rsidRPr="002F6A28" w:rsidRDefault="00FF4D1D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D8DB039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49B4" w14:paraId="2F0F50E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07628D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08DCE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E49B4" w14:paraId="5930CB5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99E7BBC" w14:textId="77777777" w:rsidR="00ED54E0" w:rsidRPr="009239F7" w:rsidRDefault="00FF4D1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C5FC80" wp14:editId="38746CE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0360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FFDDDB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E49B4" w14:paraId="0C0A8F79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F6ACF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565512" w14:textId="77777777" w:rsidR="009239F7" w:rsidRPr="002F6A28" w:rsidRDefault="00FF4D1D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G/TBT/N/EGY/479</w:t>
          </w:r>
          <w:bookmarkEnd w:id="2"/>
        </w:p>
      </w:tc>
    </w:tr>
    <w:tr w:rsidR="002E49B4" w14:paraId="23F7868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2ED93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FFF06" w14:textId="77777777" w:rsidR="00ED54E0" w:rsidRPr="009239F7" w:rsidRDefault="00FF4D1D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14 June 2024</w:t>
          </w:r>
        </w:p>
      </w:tc>
    </w:tr>
    <w:tr w:rsidR="002E49B4" w14:paraId="320FFCB3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F10B43" w14:textId="01DC6B9D" w:rsidR="00ED54E0" w:rsidRPr="009239F7" w:rsidRDefault="00FF4D1D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EA714A">
            <w:rPr>
              <w:color w:val="FF0000"/>
              <w:szCs w:val="16"/>
            </w:rPr>
            <w:t>4440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F49ECD8" w14:textId="77777777" w:rsidR="00ED54E0" w:rsidRPr="009239F7" w:rsidRDefault="00FF4D1D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E49B4" w14:paraId="49DACFDA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5E3DE3" w14:textId="77777777" w:rsidR="00ED54E0" w:rsidRPr="009239F7" w:rsidRDefault="00FF4D1D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C7905A7" w14:textId="77777777" w:rsidR="00ED54E0" w:rsidRPr="002F6A28" w:rsidRDefault="00FF4D1D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6A64C585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B32A7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2CC8F1C" w:tentative="1">
      <w:start w:val="1"/>
      <w:numFmt w:val="lowerLetter"/>
      <w:lvlText w:val="%2."/>
      <w:lvlJc w:val="left"/>
      <w:pPr>
        <w:ind w:left="1080" w:hanging="360"/>
      </w:pPr>
    </w:lvl>
    <w:lvl w:ilvl="2" w:tplc="AEE29BAA" w:tentative="1">
      <w:start w:val="1"/>
      <w:numFmt w:val="lowerRoman"/>
      <w:lvlText w:val="%3."/>
      <w:lvlJc w:val="right"/>
      <w:pPr>
        <w:ind w:left="1800" w:hanging="180"/>
      </w:pPr>
    </w:lvl>
    <w:lvl w:ilvl="3" w:tplc="46161144" w:tentative="1">
      <w:start w:val="1"/>
      <w:numFmt w:val="decimal"/>
      <w:lvlText w:val="%4."/>
      <w:lvlJc w:val="left"/>
      <w:pPr>
        <w:ind w:left="2520" w:hanging="360"/>
      </w:pPr>
    </w:lvl>
    <w:lvl w:ilvl="4" w:tplc="B7A6F960" w:tentative="1">
      <w:start w:val="1"/>
      <w:numFmt w:val="lowerLetter"/>
      <w:lvlText w:val="%5."/>
      <w:lvlJc w:val="left"/>
      <w:pPr>
        <w:ind w:left="3240" w:hanging="360"/>
      </w:pPr>
    </w:lvl>
    <w:lvl w:ilvl="5" w:tplc="8D208DB8" w:tentative="1">
      <w:start w:val="1"/>
      <w:numFmt w:val="lowerRoman"/>
      <w:lvlText w:val="%6."/>
      <w:lvlJc w:val="right"/>
      <w:pPr>
        <w:ind w:left="3960" w:hanging="180"/>
      </w:pPr>
    </w:lvl>
    <w:lvl w:ilvl="6" w:tplc="5BE263C0" w:tentative="1">
      <w:start w:val="1"/>
      <w:numFmt w:val="decimal"/>
      <w:lvlText w:val="%7."/>
      <w:lvlJc w:val="left"/>
      <w:pPr>
        <w:ind w:left="4680" w:hanging="360"/>
      </w:pPr>
    </w:lvl>
    <w:lvl w:ilvl="7" w:tplc="23026854" w:tentative="1">
      <w:start w:val="1"/>
      <w:numFmt w:val="lowerLetter"/>
      <w:lvlText w:val="%8."/>
      <w:lvlJc w:val="left"/>
      <w:pPr>
        <w:ind w:left="5400" w:hanging="360"/>
      </w:pPr>
    </w:lvl>
    <w:lvl w:ilvl="8" w:tplc="00889C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E2B494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2FE7F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3A4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0C4C5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DE0F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E0A8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7223C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EC35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37089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434204711">
    <w:abstractNumId w:val="9"/>
  </w:num>
  <w:num w:numId="2" w16cid:durableId="1781992713">
    <w:abstractNumId w:val="7"/>
  </w:num>
  <w:num w:numId="3" w16cid:durableId="1043139333">
    <w:abstractNumId w:val="6"/>
  </w:num>
  <w:num w:numId="4" w16cid:durableId="1585381823">
    <w:abstractNumId w:val="5"/>
  </w:num>
  <w:num w:numId="5" w16cid:durableId="1653757628">
    <w:abstractNumId w:val="4"/>
  </w:num>
  <w:num w:numId="6" w16cid:durableId="517815760">
    <w:abstractNumId w:val="12"/>
  </w:num>
  <w:num w:numId="7" w16cid:durableId="530724764">
    <w:abstractNumId w:val="11"/>
  </w:num>
  <w:num w:numId="8" w16cid:durableId="207762326">
    <w:abstractNumId w:val="10"/>
  </w:num>
  <w:num w:numId="9" w16cid:durableId="7264913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3947362">
    <w:abstractNumId w:val="13"/>
  </w:num>
  <w:num w:numId="11" w16cid:durableId="984506528">
    <w:abstractNumId w:val="8"/>
  </w:num>
  <w:num w:numId="12" w16cid:durableId="182479516">
    <w:abstractNumId w:val="3"/>
  </w:num>
  <w:num w:numId="13" w16cid:durableId="1727802912">
    <w:abstractNumId w:val="2"/>
  </w:num>
  <w:num w:numId="14" w16cid:durableId="1035427499">
    <w:abstractNumId w:val="1"/>
  </w:num>
  <w:num w:numId="15" w16cid:durableId="1512257966">
    <w:abstractNumId w:val="0"/>
  </w:num>
  <w:num w:numId="16" w16cid:durableId="11601209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39E4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E49B4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5823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A714A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4D1D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CADB3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A379-FBFD-41E4-A0DD-2CAAB88F8F8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2024-06-12T14:34:00Z</dcterms:created>
  <dcterms:modified xsi:type="dcterms:W3CDTF">2024-06-14T10:35:00Z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