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0C187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0C187A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D2439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BURUNDI, KENYA, RWANDA, TANZANIA, UGANDA</w:t>
            </w:r>
            <w:bookmarkEnd w:id="0"/>
          </w:p>
          <w:p w:rsidR="00F85C99" w:rsidRPr="002F6A28" w:rsidRDefault="000C187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:rsidR="00EE3A11" w:rsidRPr="00C379C8" w:rsidRDefault="000C187A" w:rsidP="00155128">
            <w:pPr>
              <w:spacing w:after="120"/>
            </w:pPr>
            <w:r w:rsidRPr="00C379C8">
              <w:t>Kenya Bureau of Standards</w:t>
            </w:r>
            <w:bookmarkEnd w:id="2"/>
          </w:p>
          <w:p w:rsidR="00F85C99" w:rsidRPr="002F6A28" w:rsidRDefault="000C187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</w:p>
          <w:p w:rsidR="00AC6C6E" w:rsidRPr="00C379C8" w:rsidRDefault="000C187A" w:rsidP="00AA646C">
            <w:r w:rsidRPr="00C379C8">
              <w:t>Kenya Bureau of Standards</w:t>
            </w:r>
          </w:p>
          <w:p w:rsidR="00AC6C6E" w:rsidRPr="00C379C8" w:rsidRDefault="000C187A" w:rsidP="00AA646C">
            <w:r w:rsidRPr="00C379C8">
              <w:t>P.O. Box: 54974-00200, Nairobi, Kenya</w:t>
            </w:r>
          </w:p>
          <w:p w:rsidR="00AC6C6E" w:rsidRPr="00C379C8" w:rsidRDefault="000C187A" w:rsidP="00AA646C">
            <w:r w:rsidRPr="00C379C8">
              <w:t>Telephone: + (254) 020 605490, 605506/6948258</w:t>
            </w:r>
          </w:p>
          <w:p w:rsidR="00AC6C6E" w:rsidRPr="00C379C8" w:rsidRDefault="000C187A" w:rsidP="00AA646C">
            <w:r w:rsidRPr="00C379C8">
              <w:t>Fax: + (254) 020 609660/609665</w:t>
            </w:r>
          </w:p>
          <w:p w:rsidR="00AC6C6E" w:rsidRPr="00C379C8" w:rsidRDefault="000C187A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3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0C187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Lubricants, industrial oils and related products (ICS code(s): 75.100)</w:t>
            </w:r>
            <w:bookmarkEnd w:id="5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DEAS 1211: 2024 Illuminating Kerosene — Specification; (11 page(s), in English)</w:t>
            </w:r>
            <w:bookmarkEnd w:id="6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 xml:space="preserve">This Draft East Africa Standard specifies requirements, test methods and sampling of Illuminating Kerosene suitable for use in domestic, commercial and industrial application. </w:t>
            </w:r>
            <w:bookmarkEnd w:id="7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8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0C187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56, Test method for flash point tag closed tester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ASTMD 86, Test for distillation of petroleum products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156, Test for Saybolt colour of petroleum products (Saybolt chronometer method)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187, Standard test method for burning quality of kerosene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240, Test for heat of combustion of liquid hydrocarbon fuel (general bomb method)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 381, Test for existent gum in fuels by jet evaporation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445, Test for viscosity of transparent and opaque liquid (kinematic and dynamic viscosities)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484, Specification for hydrocarbon dry cleaning solvents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611, Test for aniline point and mixed aniline point of petroleum products and hydrocarbon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solvents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1094, Test for water reaction of aviation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1219, Test for mercaptan sulphur in aviation turine fuels (colour-indicator method)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D3227, Potentiometric titration method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1266, Test for sulphur in petroleum products (lamp method)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1298, Test for density, specific gravity or API gravity of crude petroleum and liquid petroleum products by hydrometer method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1322, Test for smoke point of aviation turbine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1322, Test for smoke point of aviation turbine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1740, Test for luminometer numbers of aviation turbine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1840, Test for naphthalene hydrocarbons in aviation turbine fuels by ultraviolet spectrophotometer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2386, Test for freezing point of aviation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AST/IM D 2550, Test for water separation characteristics of aviation turbine fuels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2624, Test for electrical conductivity of aviation fuels containing a static dissipator additive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3241, Test for thermal oxidation stability of aviation turbine fuels (JFTOT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procedure)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ASTMD 3828, Test method for flash point by Setaflash closed tester</w:t>
            </w:r>
          </w:p>
          <w:p w:rsidR="00EE3A11" w:rsidRPr="002F6A28" w:rsidRDefault="000C187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227, Silver corrosion by aviation turbine fuel</w:t>
            </w:r>
          </w:p>
          <w:p w:rsidR="00EE3A11" w:rsidRPr="002F6A28" w:rsidRDefault="000C187A" w:rsidP="007F13E8">
            <w:pPr>
              <w:spacing w:before="120" w:after="120"/>
            </w:pPr>
            <w:r w:rsidRPr="002F6A28">
              <w:t>27. IP 273, Total acidity in aviation turbine fuel</w:t>
            </w:r>
            <w:bookmarkEnd w:id="9"/>
          </w:p>
        </w:tc>
      </w:tr>
      <w:tr w:rsidR="00DD2439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0C1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0C187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:rsidR="00EE3A11" w:rsidRPr="002F6A28" w:rsidRDefault="000C187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0C187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DD2439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0C187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0C187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:rsidR="00EE3A11" w:rsidRPr="00A12DDE" w:rsidRDefault="000C187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RDefault="00C6483F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0C187A" w:rsidRPr="00A12DDE">
                <w:rPr>
                  <w:bCs/>
                  <w:color w:val="0000FF"/>
                  <w:u w:val="single"/>
                </w:rPr>
                <w:t>https://members.wto.org/crnattachments/2024/TBT/KEN/24_03607_00_e.pdf</w:t>
              </w:r>
            </w:hyperlink>
            <w:bookmarkEnd w:id="15"/>
          </w:p>
        </w:tc>
      </w:tr>
    </w:tbl>
    <w:p w:rsidR="00EE3A11" w:rsidRPr="002F6A28" w:rsidRDefault="00EE3A11" w:rsidP="002F6A28"/>
    <w:sectPr w:rsidR="00EE3A11" w:rsidRPr="002F6A28" w:rsidSect="000C18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0C187A" w:rsidRDefault="000C187A" w:rsidP="000C18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0C187A" w:rsidRDefault="000C187A" w:rsidP="000C18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0C187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87A">
      <w:t>G/TBT/N/BDI/481 • G/TBT/N/KEN/1629 • G/TBT/N/RWA/1028 • G/TBT/N/TZA/1138 • G/TBT/N/UGA/1939</w:t>
    </w:r>
  </w:p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87A">
      <w:t xml:space="preserve">- </w:t>
    </w:r>
    <w:r w:rsidRPr="000C187A">
      <w:fldChar w:fldCharType="begin"/>
    </w:r>
    <w:r w:rsidRPr="000C187A">
      <w:instrText xml:space="preserve"> PAGE </w:instrText>
    </w:r>
    <w:r w:rsidRPr="000C187A">
      <w:fldChar w:fldCharType="separate"/>
    </w:r>
    <w:r w:rsidRPr="000C187A">
      <w:rPr>
        <w:noProof/>
      </w:rPr>
      <w:t>2</w:t>
    </w:r>
    <w:r w:rsidRPr="000C187A">
      <w:fldChar w:fldCharType="end"/>
    </w:r>
    <w:r w:rsidRPr="000C187A">
      <w:t xml:space="preserve"> -</w:t>
    </w:r>
  </w:p>
  <w:p w:rsidR="009239F7" w:rsidRPr="000C187A" w:rsidRDefault="009239F7" w:rsidP="000C18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87A">
      <w:t>G/TBT/N/BDI/481 • G/TBT/N/KEN/1629 • G/TBT/N/RWA/1028 • G/TBT/N/TZA/1138 • G/TBT/N/UGA/1939</w:t>
    </w:r>
  </w:p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187A" w:rsidRPr="000C187A" w:rsidRDefault="000C187A" w:rsidP="000C18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87A">
      <w:t xml:space="preserve">- </w:t>
    </w:r>
    <w:r w:rsidRPr="000C187A">
      <w:fldChar w:fldCharType="begin"/>
    </w:r>
    <w:r w:rsidRPr="000C187A">
      <w:instrText xml:space="preserve"> PAGE </w:instrText>
    </w:r>
    <w:r w:rsidRPr="000C187A">
      <w:fldChar w:fldCharType="separate"/>
    </w:r>
    <w:r w:rsidRPr="000C187A">
      <w:rPr>
        <w:noProof/>
      </w:rPr>
      <w:t>2</w:t>
    </w:r>
    <w:r w:rsidRPr="000C187A">
      <w:fldChar w:fldCharType="end"/>
    </w:r>
    <w:r w:rsidRPr="000C187A">
      <w:t xml:space="preserve"> -</w:t>
    </w:r>
  </w:p>
  <w:p w:rsidR="009239F7" w:rsidRPr="000C187A" w:rsidRDefault="009239F7" w:rsidP="000C18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2439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1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0C187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6"/>
    <w:tr w:rsidR="00DD2439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0C187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83724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D2439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C187A" w:rsidRDefault="000C187A" w:rsidP="00B801E9">
          <w:pPr>
            <w:jc w:val="right"/>
            <w:rPr>
              <w:b/>
              <w:szCs w:val="16"/>
            </w:rPr>
          </w:pPr>
          <w:bookmarkStart w:id="17" w:name="bmkSymbols"/>
          <w:r>
            <w:rPr>
              <w:b/>
              <w:szCs w:val="16"/>
            </w:rPr>
            <w:t>G/TBT/N/BDI/481, G/TBT/N/KEN/1629</w:t>
          </w:r>
        </w:p>
        <w:p w:rsidR="000C187A" w:rsidRDefault="000C187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G/TBT/N/RWA/1028, G/TBT/N/TZA/1138</w:t>
          </w:r>
        </w:p>
        <w:p w:rsidR="00DD2439" w:rsidRPr="002F6A28" w:rsidRDefault="000C187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G/TBT/N/UGA/1939</w:t>
          </w:r>
          <w:bookmarkEnd w:id="17"/>
        </w:p>
      </w:tc>
    </w:tr>
    <w:tr w:rsidR="00DD2439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0C187A" w:rsidP="00B801E9">
          <w:pPr>
            <w:jc w:val="right"/>
            <w:rPr>
              <w:szCs w:val="16"/>
            </w:rPr>
          </w:pPr>
          <w:bookmarkStart w:id="18" w:name="spsDateDistribution"/>
          <w:bookmarkStart w:id="19" w:name="bmkDate"/>
          <w:bookmarkEnd w:id="18"/>
          <w:bookmarkEnd w:id="19"/>
          <w:r>
            <w:rPr>
              <w:szCs w:val="16"/>
            </w:rPr>
            <w:t>5 June 2024</w:t>
          </w:r>
        </w:p>
      </w:tc>
    </w:tr>
    <w:tr w:rsidR="00DD2439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0C187A" w:rsidP="0097650D">
          <w:pPr>
            <w:jc w:val="left"/>
            <w:rPr>
              <w:b/>
            </w:rPr>
          </w:pPr>
          <w:bookmarkStart w:id="20" w:name="bmkSerial"/>
          <w:r w:rsidRPr="002F6A28">
            <w:rPr>
              <w:color w:val="FF0000"/>
              <w:szCs w:val="16"/>
            </w:rPr>
            <w:t>(</w:t>
          </w:r>
          <w:bookmarkStart w:id="21" w:name="spsSerialNumber"/>
          <w:bookmarkEnd w:id="21"/>
          <w:r>
            <w:rPr>
              <w:color w:val="FF0000"/>
              <w:szCs w:val="16"/>
            </w:rPr>
            <w:t>24-</w:t>
          </w:r>
          <w:r w:rsidR="00C6483F">
            <w:rPr>
              <w:color w:val="FF0000"/>
              <w:szCs w:val="16"/>
            </w:rPr>
            <w:t>4265</w:t>
          </w:r>
          <w:r w:rsidRPr="002F6A28">
            <w:rPr>
              <w:color w:val="FF0000"/>
              <w:szCs w:val="16"/>
            </w:rPr>
            <w:t>)</w:t>
          </w:r>
          <w:bookmarkEnd w:id="2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0C187A" w:rsidP="00B801E9">
          <w:pPr>
            <w:jc w:val="right"/>
            <w:rPr>
              <w:szCs w:val="16"/>
            </w:rPr>
          </w:pPr>
          <w:bookmarkStart w:id="22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2"/>
        </w:p>
      </w:tc>
    </w:tr>
    <w:tr w:rsidR="00DD2439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0C187A" w:rsidP="00B801E9">
          <w:pPr>
            <w:jc w:val="left"/>
            <w:rPr>
              <w:sz w:val="14"/>
              <w:szCs w:val="16"/>
            </w:rPr>
          </w:pPr>
          <w:bookmarkStart w:id="23" w:name="bmkCommittee"/>
          <w:r>
            <w:rPr>
              <w:b/>
            </w:rPr>
            <w:t>Committee on Technical Barriers to Trade</w:t>
          </w:r>
          <w:bookmarkEnd w:id="2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0C187A" w:rsidP="00B801E9">
          <w:pPr>
            <w:jc w:val="right"/>
            <w:rPr>
              <w:bCs/>
              <w:szCs w:val="18"/>
            </w:rPr>
          </w:pPr>
          <w:bookmarkStart w:id="24" w:name="bmkLanguage"/>
          <w:r>
            <w:rPr>
              <w:bCs/>
              <w:szCs w:val="18"/>
            </w:rPr>
            <w:t>Original: English</w:t>
          </w:r>
          <w:bookmarkEnd w:id="24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C289A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643264" w:tentative="1">
      <w:start w:val="1"/>
      <w:numFmt w:val="lowerLetter"/>
      <w:lvlText w:val="%2."/>
      <w:lvlJc w:val="left"/>
      <w:pPr>
        <w:ind w:left="1080" w:hanging="360"/>
      </w:pPr>
    </w:lvl>
    <w:lvl w:ilvl="2" w:tplc="6D9A1FA8" w:tentative="1">
      <w:start w:val="1"/>
      <w:numFmt w:val="lowerRoman"/>
      <w:lvlText w:val="%3."/>
      <w:lvlJc w:val="right"/>
      <w:pPr>
        <w:ind w:left="1800" w:hanging="180"/>
      </w:pPr>
    </w:lvl>
    <w:lvl w:ilvl="3" w:tplc="CD62B1CC" w:tentative="1">
      <w:start w:val="1"/>
      <w:numFmt w:val="decimal"/>
      <w:lvlText w:val="%4."/>
      <w:lvlJc w:val="left"/>
      <w:pPr>
        <w:ind w:left="2520" w:hanging="360"/>
      </w:pPr>
    </w:lvl>
    <w:lvl w:ilvl="4" w:tplc="69122D7E" w:tentative="1">
      <w:start w:val="1"/>
      <w:numFmt w:val="lowerLetter"/>
      <w:lvlText w:val="%5."/>
      <w:lvlJc w:val="left"/>
      <w:pPr>
        <w:ind w:left="3240" w:hanging="360"/>
      </w:pPr>
    </w:lvl>
    <w:lvl w:ilvl="5" w:tplc="9C0858D4" w:tentative="1">
      <w:start w:val="1"/>
      <w:numFmt w:val="lowerRoman"/>
      <w:lvlText w:val="%6."/>
      <w:lvlJc w:val="right"/>
      <w:pPr>
        <w:ind w:left="3960" w:hanging="180"/>
      </w:pPr>
    </w:lvl>
    <w:lvl w:ilvl="6" w:tplc="3B28CA22" w:tentative="1">
      <w:start w:val="1"/>
      <w:numFmt w:val="decimal"/>
      <w:lvlText w:val="%7."/>
      <w:lvlJc w:val="left"/>
      <w:pPr>
        <w:ind w:left="4680" w:hanging="360"/>
      </w:pPr>
    </w:lvl>
    <w:lvl w:ilvl="7" w:tplc="178EE912" w:tentative="1">
      <w:start w:val="1"/>
      <w:numFmt w:val="lowerLetter"/>
      <w:lvlText w:val="%8."/>
      <w:lvlJc w:val="left"/>
      <w:pPr>
        <w:ind w:left="5400" w:hanging="360"/>
      </w:pPr>
    </w:lvl>
    <w:lvl w:ilvl="8" w:tplc="DCF688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697618">
    <w:abstractNumId w:val="9"/>
  </w:num>
  <w:num w:numId="2" w16cid:durableId="1851602288">
    <w:abstractNumId w:val="7"/>
  </w:num>
  <w:num w:numId="3" w16cid:durableId="1001735342">
    <w:abstractNumId w:val="6"/>
  </w:num>
  <w:num w:numId="4" w16cid:durableId="775298106">
    <w:abstractNumId w:val="5"/>
  </w:num>
  <w:num w:numId="5" w16cid:durableId="127673077">
    <w:abstractNumId w:val="4"/>
  </w:num>
  <w:num w:numId="6" w16cid:durableId="1596014509">
    <w:abstractNumId w:val="12"/>
  </w:num>
  <w:num w:numId="7" w16cid:durableId="1391152343">
    <w:abstractNumId w:val="11"/>
  </w:num>
  <w:num w:numId="8" w16cid:durableId="876233771">
    <w:abstractNumId w:val="10"/>
  </w:num>
  <w:num w:numId="9" w16cid:durableId="56174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907719">
    <w:abstractNumId w:val="13"/>
  </w:num>
  <w:num w:numId="11" w16cid:durableId="1449931478">
    <w:abstractNumId w:val="8"/>
  </w:num>
  <w:num w:numId="12" w16cid:durableId="175923073">
    <w:abstractNumId w:val="3"/>
  </w:num>
  <w:num w:numId="13" w16cid:durableId="1430814548">
    <w:abstractNumId w:val="2"/>
  </w:num>
  <w:num w:numId="14" w16cid:durableId="632753748">
    <w:abstractNumId w:val="1"/>
  </w:num>
  <w:num w:numId="15" w16cid:durableId="1272589452">
    <w:abstractNumId w:val="0"/>
  </w:num>
  <w:num w:numId="16" w16cid:durableId="1329601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187A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4A03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6FD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483F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2439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7C07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360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F657-B8CC-4132-804A-30E1062FA7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2024-06-05T14:04:00Z</dcterms:created>
  <dcterms:modified xsi:type="dcterms:W3CDTF">2024-06-05T14:23:00Z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G/TBT/N/BDI/481</vt:lpwstr>
  </property>
  <property fmtid="{D5CDD505-2E9C-101B-9397-08002B2CF9AE}" pid="5" name="Symbol2">
    <vt:lpwstr>G/TBT/N/KEN/1629</vt:lpwstr>
  </property>
  <property fmtid="{D5CDD505-2E9C-101B-9397-08002B2CF9AE}" pid="6" name="Symbol3">
    <vt:lpwstr>G/TBT/N/RWA/1028</vt:lpwstr>
  </property>
  <property fmtid="{D5CDD505-2E9C-101B-9397-08002B2CF9AE}" pid="7" name="Symbol4">
    <vt:lpwstr>G/TBT/N/TZA/1138</vt:lpwstr>
  </property>
  <property fmtid="{D5CDD505-2E9C-101B-9397-08002B2CF9AE}" pid="8" name="Symbol5">
    <vt:lpwstr>G/TBT/N/UGA/1939</vt:lpwstr>
  </property>
</Properties>
</file>