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3E63" w14:textId="77777777" w:rsidR="009239F7" w:rsidRPr="002F6A28" w:rsidRDefault="00E76A5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0AE5128" w14:textId="77777777" w:rsidR="009239F7" w:rsidRPr="002F6A28" w:rsidRDefault="00E76A55" w:rsidP="002F6A28">
      <w:pPr>
        <w:jc w:val="center"/>
      </w:pPr>
      <w:r w:rsidRPr="002F6A28">
        <w:t>The following notification is being circulated in accordance with Article 10.6</w:t>
      </w:r>
    </w:p>
    <w:p w14:paraId="3A6C224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701B3" w14:paraId="700DBAD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16CDBB5" w14:textId="77777777" w:rsidR="00F85C99" w:rsidRPr="002F6A28" w:rsidRDefault="00E76A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8359E19" w14:textId="77777777" w:rsidR="00F85C99" w:rsidRPr="002F6A28" w:rsidRDefault="00E76A5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BFEFBC7" w14:textId="77777777" w:rsidR="00F85C99" w:rsidRPr="002F6A28" w:rsidRDefault="00E76A5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701B3" w14:paraId="40A2A6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590C3" w14:textId="77777777" w:rsidR="00F85C99" w:rsidRPr="002F6A28" w:rsidRDefault="00E76A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F6DC6" w14:textId="77777777" w:rsidR="00F85C99" w:rsidRPr="002F6A28" w:rsidRDefault="00E76A5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132EBBF" w14:textId="77777777" w:rsidR="00EE3A11" w:rsidRPr="00C379C8" w:rsidRDefault="00E76A55" w:rsidP="00155128">
            <w:r w:rsidRPr="00C379C8">
              <w:t>Kenya Bureau of Standards</w:t>
            </w:r>
          </w:p>
          <w:p w14:paraId="198AB550" w14:textId="77777777" w:rsidR="00EE3A11" w:rsidRPr="00C379C8" w:rsidRDefault="00E76A55" w:rsidP="00155128">
            <w:r w:rsidRPr="00C379C8">
              <w:t>P.O. Box: 54974-00200, Nairobi, Kenya</w:t>
            </w:r>
          </w:p>
          <w:p w14:paraId="795A7702" w14:textId="77777777" w:rsidR="00EE3A11" w:rsidRPr="00C379C8" w:rsidRDefault="00E76A55" w:rsidP="00155128">
            <w:r w:rsidRPr="00C379C8">
              <w:t>Telephone: + (254) 020 605490, 605506/6948258</w:t>
            </w:r>
          </w:p>
          <w:p w14:paraId="1E946EDE" w14:textId="77777777" w:rsidR="00EE3A11" w:rsidRPr="00C379C8" w:rsidRDefault="00E76A55" w:rsidP="00155128">
            <w:r w:rsidRPr="00C379C8">
              <w:t>Fax: + (254) 020 609660/609665</w:t>
            </w:r>
          </w:p>
          <w:p w14:paraId="3F6E0281" w14:textId="77777777" w:rsidR="00EE3A11" w:rsidRPr="00C379C8" w:rsidRDefault="00E76A55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7A62F01E" w14:textId="77777777" w:rsidR="00F85C99" w:rsidRPr="002F6A28" w:rsidRDefault="00E76A5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701B3" w14:paraId="25AE69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11974" w14:textId="77777777" w:rsidR="00F85C99" w:rsidRPr="002F6A28" w:rsidRDefault="00E76A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CA4B10" w14:textId="77777777" w:rsidR="00F85C99" w:rsidRPr="0058336F" w:rsidRDefault="00E76A5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701B3" w14:paraId="6AC56A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01C397" w14:textId="77777777" w:rsidR="00F85C99" w:rsidRPr="002F6A28" w:rsidRDefault="00E76A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93F7C" w14:textId="77777777" w:rsidR="00F85C99" w:rsidRPr="002F6A28" w:rsidRDefault="00E76A5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Birds' eggs, in shell, fresh, preserved or cooked (HS code(s): 0407); Poultry and eggs (ICS code(s): 67.120.20)</w:t>
            </w:r>
            <w:bookmarkEnd w:id="22"/>
          </w:p>
        </w:tc>
      </w:tr>
      <w:tr w:rsidR="000701B3" w14:paraId="6B5B7A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D9847" w14:textId="77777777" w:rsidR="00F85C99" w:rsidRPr="002F6A28" w:rsidRDefault="00E76A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7A2C0" w14:textId="77777777" w:rsidR="00F85C99" w:rsidRPr="002F6A28" w:rsidRDefault="00E76A5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2297:2022 Chicken essence — Specification; (14 page(s), in English)</w:t>
            </w:r>
            <w:bookmarkEnd w:id="24"/>
          </w:p>
        </w:tc>
      </w:tr>
      <w:tr w:rsidR="000701B3" w14:paraId="4882A4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6886A0" w14:textId="77777777" w:rsidR="00F85C99" w:rsidRPr="002F6A28" w:rsidRDefault="00E76A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0164BE" w14:textId="77777777" w:rsidR="00F85C99" w:rsidRPr="002F6A28" w:rsidRDefault="00E76A5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the requirements and the methods of sampling and test for chicken essence.</w:t>
            </w:r>
            <w:bookmarkEnd w:id="26"/>
          </w:p>
        </w:tc>
      </w:tr>
      <w:tr w:rsidR="000701B3" w14:paraId="5E31B0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FAA173" w14:textId="77777777" w:rsidR="00F85C99" w:rsidRPr="002F6A28" w:rsidRDefault="00E76A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08E58" w14:textId="77777777" w:rsidR="00F85C99" w:rsidRPr="002F6A28" w:rsidRDefault="00E76A5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</w:t>
            </w:r>
            <w:bookmarkEnd w:id="28"/>
          </w:p>
        </w:tc>
      </w:tr>
      <w:tr w:rsidR="000701B3" w14:paraId="7DB194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ABD29" w14:textId="77777777" w:rsidR="00F85C99" w:rsidRPr="002F6A28" w:rsidRDefault="00E76A5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47AD21" w14:textId="77777777" w:rsidR="00072B36" w:rsidRPr="002F6A28" w:rsidRDefault="00E76A5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9C99FA8" w14:textId="77777777" w:rsidR="00F85C99" w:rsidRPr="002F6A28" w:rsidRDefault="00E76A55" w:rsidP="009E75ED">
            <w:pPr>
              <w:spacing w:before="120" w:after="120"/>
            </w:pPr>
            <w:bookmarkStart w:id="30" w:name="sps9a"/>
            <w:r w:rsidRPr="002F6A28">
              <w:t>I. AOAC Official Method 931.06:1931, Phosphorus (Total) (P2O5) in Eggs</w:t>
            </w:r>
          </w:p>
          <w:p w14:paraId="06FED39D" w14:textId="77777777" w:rsidR="00F85C99" w:rsidRPr="002F6A28" w:rsidRDefault="00E76A55" w:rsidP="009E75ED">
            <w:pPr>
              <w:spacing w:before="120" w:after="120"/>
            </w:pPr>
            <w:r w:rsidRPr="002F6A28">
              <w:t>II. CAC/RCP 1, Recommended international code of practice — General principles of food hygiene</w:t>
            </w:r>
          </w:p>
          <w:p w14:paraId="7908F0DE" w14:textId="77777777" w:rsidR="00F85C99" w:rsidRPr="002F6A28" w:rsidRDefault="00E76A55" w:rsidP="009E75ED">
            <w:pPr>
              <w:spacing w:before="120" w:after="120"/>
            </w:pPr>
            <w:r w:rsidRPr="002F6A28">
              <w:t>III. EAS 35, Edible salt — Specification</w:t>
            </w:r>
          </w:p>
          <w:p w14:paraId="670D75BF" w14:textId="77777777" w:rsidR="00F85C99" w:rsidRPr="002F6A28" w:rsidRDefault="00E76A55" w:rsidP="009E75ED">
            <w:pPr>
              <w:spacing w:before="120" w:after="120"/>
            </w:pPr>
            <w:r w:rsidRPr="002F6A28">
              <w:t>IV. EAS 12, Drinking (potable water) — Specification</w:t>
            </w:r>
          </w:p>
          <w:p w14:paraId="0A6B1F65" w14:textId="77777777" w:rsidR="00F85C99" w:rsidRPr="002F6A28" w:rsidRDefault="00E76A55" w:rsidP="009E75ED">
            <w:pPr>
              <w:spacing w:before="120" w:after="120"/>
            </w:pPr>
            <w:r w:rsidRPr="002F6A28">
              <w:t>V. EAS 38, Labelling of prepackaged foods — Specification</w:t>
            </w:r>
          </w:p>
          <w:p w14:paraId="4AA01499" w14:textId="77777777" w:rsidR="00F85C99" w:rsidRPr="002F6A28" w:rsidRDefault="00E76A55" w:rsidP="009E75ED">
            <w:pPr>
              <w:spacing w:before="120" w:after="120"/>
            </w:pPr>
            <w:r w:rsidRPr="002F6A28">
              <w:t>VI. EAS 39, Hygiene in the food and drink manufacturing industry — Code of practice</w:t>
            </w:r>
          </w:p>
          <w:p w14:paraId="7A43002E" w14:textId="77777777" w:rsidR="00F85C99" w:rsidRPr="002F6A28" w:rsidRDefault="00E76A55" w:rsidP="009E75ED">
            <w:pPr>
              <w:spacing w:before="120" w:after="120"/>
            </w:pPr>
            <w:r w:rsidRPr="002F6A28">
              <w:t>VII. EAS 41, Fruits, vegetables and derived products — Sampling and methods of test</w:t>
            </w:r>
          </w:p>
          <w:p w14:paraId="776AD34D" w14:textId="77777777" w:rsidR="00F85C99" w:rsidRPr="002F6A28" w:rsidRDefault="00E76A55" w:rsidP="009E75ED">
            <w:pPr>
              <w:spacing w:before="120" w:after="120"/>
            </w:pPr>
            <w:r w:rsidRPr="002F6A28">
              <w:lastRenderedPageBreak/>
              <w:t>VIII. EAS 103, Schedule for permitted food additives</w:t>
            </w:r>
          </w:p>
          <w:p w14:paraId="58393512" w14:textId="77777777" w:rsidR="00F85C99" w:rsidRPr="002F6A28" w:rsidRDefault="00E76A55" w:rsidP="009E75ED">
            <w:pPr>
              <w:spacing w:before="120" w:after="120"/>
            </w:pPr>
            <w:r w:rsidRPr="002F6A28">
              <w:t>IX. EAS 123, Distilled water — Specification</w:t>
            </w:r>
          </w:p>
          <w:p w14:paraId="25B5D65F" w14:textId="77777777" w:rsidR="00F85C99" w:rsidRPr="002F6A28" w:rsidRDefault="00E76A55" w:rsidP="009E75ED">
            <w:pPr>
              <w:spacing w:before="120" w:after="120"/>
            </w:pPr>
            <w:r w:rsidRPr="002F6A28">
              <w:t>X. ISO 936, Meat and meat products — Determination of total ash</w:t>
            </w:r>
          </w:p>
          <w:p w14:paraId="4BEDC464" w14:textId="77777777" w:rsidR="00F85C99" w:rsidRPr="002F6A28" w:rsidRDefault="00E76A55" w:rsidP="009E75ED">
            <w:pPr>
              <w:spacing w:before="120" w:after="120"/>
            </w:pPr>
            <w:r w:rsidRPr="002F6A28">
              <w:t>XI. ISO 4831, Microbiology of food and animal feeding stuffs — Horizontal method for the detection and enumeration of coliforms — Most probable number technique</w:t>
            </w:r>
          </w:p>
          <w:p w14:paraId="7B940DE9" w14:textId="77777777" w:rsidR="00F85C99" w:rsidRPr="002F6A28" w:rsidRDefault="00E76A55" w:rsidP="009E75ED">
            <w:pPr>
              <w:spacing w:before="120" w:after="120"/>
            </w:pPr>
            <w:r w:rsidRPr="002F6A28">
              <w:t>XII. ISO 4832, Microbiology of food and animal feeding stuffs — Horizontal method for the enumeration of coliforms -Colony-count technique</w:t>
            </w:r>
          </w:p>
          <w:p w14:paraId="79E69ED3" w14:textId="77777777" w:rsidR="00F85C99" w:rsidRPr="002F6A28" w:rsidRDefault="00E76A55" w:rsidP="009E75ED">
            <w:pPr>
              <w:spacing w:before="120" w:after="120"/>
            </w:pPr>
            <w:r w:rsidRPr="002F6A28">
              <w:t>XIII. ISO 4833, Microbiology of food and animal feeding stuffs — Horizontal method for the enumeration of microorganisms — Colony-count technique at 30 degrees C</w:t>
            </w:r>
          </w:p>
          <w:p w14:paraId="1F67F62C" w14:textId="77777777" w:rsidR="00F85C99" w:rsidRPr="002F6A28" w:rsidRDefault="00E76A55" w:rsidP="009E75ED">
            <w:pPr>
              <w:spacing w:before="120" w:after="120"/>
            </w:pPr>
            <w:r w:rsidRPr="002F6A28">
              <w:t>XIV. ISO 5537, Dried milk — Determination of moisture content (Reference method)</w:t>
            </w:r>
          </w:p>
          <w:p w14:paraId="725BB0A7" w14:textId="77777777" w:rsidR="00F85C99" w:rsidRPr="002F6A28" w:rsidRDefault="00E76A55" w:rsidP="009E75ED">
            <w:pPr>
              <w:spacing w:before="120" w:after="120"/>
            </w:pPr>
            <w:r w:rsidRPr="002F6A28">
              <w:t>XV. ISO 5985, Animal feeding stuffs — Determination of ash insoluble in hydrochloric acid</w:t>
            </w:r>
          </w:p>
          <w:p w14:paraId="4294D920" w14:textId="77777777" w:rsidR="00F85C99" w:rsidRPr="002F6A28" w:rsidRDefault="00E76A55" w:rsidP="009E75ED">
            <w:pPr>
              <w:spacing w:before="120" w:after="120"/>
            </w:pPr>
            <w:r w:rsidRPr="002F6A28">
              <w:t>XVI. ISO 6491, Animal feeding stuffs — Determination of phosphorus content — Spectrometric method</w:t>
            </w:r>
          </w:p>
          <w:p w14:paraId="635A6E2D" w14:textId="77777777" w:rsidR="00F85C99" w:rsidRPr="002F6A28" w:rsidRDefault="00E76A55" w:rsidP="009E75ED">
            <w:pPr>
              <w:spacing w:before="120" w:after="120"/>
            </w:pPr>
            <w:r w:rsidRPr="002F6A28">
              <w:t>XVII. ISO 6579, Microbiology of food and animal feeding stuffs — Horizontal method for the detection of Salmonella spp.</w:t>
            </w:r>
          </w:p>
          <w:p w14:paraId="1F418E1D" w14:textId="77777777" w:rsidR="00F85C99" w:rsidRPr="002F6A28" w:rsidRDefault="00E76A55" w:rsidP="009E75ED">
            <w:pPr>
              <w:spacing w:before="120" w:after="120"/>
            </w:pPr>
            <w:r w:rsidRPr="002F6A28">
              <w:t>XVIII. ISO 8156, Dried milk and dried milk products — Determination of insolubility index</w:t>
            </w:r>
          </w:p>
          <w:p w14:paraId="30F5B93D" w14:textId="77777777" w:rsidR="00F85C99" w:rsidRPr="002F6A28" w:rsidRDefault="00E76A55" w:rsidP="009E75ED">
            <w:pPr>
              <w:spacing w:before="120" w:after="120"/>
            </w:pPr>
            <w:r w:rsidRPr="002F6A28">
              <w:t>XIX. ISO 9390, Water quality — Determination of borate — Spectrometric method using azomethine-H</w:t>
            </w:r>
          </w:p>
          <w:p w14:paraId="5DD036AB" w14:textId="77777777" w:rsidR="00F85C99" w:rsidRPr="002F6A28" w:rsidRDefault="00E76A55" w:rsidP="009E75ED">
            <w:pPr>
              <w:spacing w:before="120" w:after="120"/>
            </w:pPr>
            <w:r w:rsidRPr="002F6A28">
              <w:t>XX. ISO 13730, Meat and meat products — Determination of total phosphorus content — Spectrometric method</w:t>
            </w:r>
          </w:p>
          <w:p w14:paraId="17CE3256" w14:textId="77777777" w:rsidR="00F85C99" w:rsidRPr="002F6A28" w:rsidRDefault="00E76A55" w:rsidP="009E75ED">
            <w:pPr>
              <w:spacing w:before="120" w:after="120"/>
            </w:pPr>
            <w:r w:rsidRPr="002F6A28">
              <w:t>XXI. ISO 21527-1, Microbiology of food and animal feeding stuffs — Horizontal method for the enumeration of yeasts and moulds — Part 1: Colony count technique in products with water activity greater than 0.95</w:t>
            </w:r>
          </w:p>
          <w:p w14:paraId="5C6DDC84" w14:textId="77777777" w:rsidR="00F85C99" w:rsidRPr="002F6A28" w:rsidRDefault="00E76A55" w:rsidP="009E75ED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  <w:bookmarkEnd w:id="30"/>
          </w:p>
        </w:tc>
      </w:tr>
      <w:tr w:rsidR="000701B3" w14:paraId="29C175A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C2AC8" w14:textId="77777777" w:rsidR="00EE3A11" w:rsidRPr="002F6A28" w:rsidRDefault="00E76A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1FA6C" w14:textId="77777777" w:rsidR="00EE3A11" w:rsidRPr="002F6A28" w:rsidRDefault="00E76A5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2023</w:t>
            </w:r>
            <w:bookmarkStart w:id="33" w:name="sps10b"/>
            <w:bookmarkEnd w:id="32"/>
            <w:bookmarkEnd w:id="33"/>
          </w:p>
          <w:p w14:paraId="0C90CAD1" w14:textId="77777777" w:rsidR="00EE3A11" w:rsidRPr="002F6A28" w:rsidRDefault="00E76A5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701B3" w14:paraId="40453F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AD384" w14:textId="77777777" w:rsidR="00F85C99" w:rsidRPr="002F6A28" w:rsidRDefault="00E76A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15EF8" w14:textId="77777777" w:rsidR="00F85C99" w:rsidRPr="002F6A28" w:rsidRDefault="00E76A5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16 March 2023</w:t>
            </w:r>
            <w:bookmarkEnd w:id="38"/>
          </w:p>
        </w:tc>
      </w:tr>
      <w:tr w:rsidR="000701B3" w14:paraId="070E705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B96E2C5" w14:textId="77777777" w:rsidR="00F85C99" w:rsidRPr="002F6A28" w:rsidRDefault="00E76A5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686657A" w14:textId="77777777" w:rsidR="00F85C99" w:rsidRPr="002F6A28" w:rsidRDefault="00E76A5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CEFBEDB" w14:textId="77777777" w:rsidR="00EE3A11" w:rsidRPr="00A12DDE" w:rsidRDefault="00E76A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 (KEBS)</w:t>
            </w:r>
          </w:p>
          <w:p w14:paraId="6479A09D" w14:textId="77777777" w:rsidR="00EE3A11" w:rsidRPr="00A12DDE" w:rsidRDefault="00E76A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KEBS Centre</w:t>
            </w:r>
          </w:p>
          <w:p w14:paraId="291384B2" w14:textId="77777777" w:rsidR="00EE3A11" w:rsidRPr="00A12DDE" w:rsidRDefault="00E76A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Person: Managing Director</w:t>
            </w:r>
          </w:p>
          <w:p w14:paraId="6CD67C73" w14:textId="77777777" w:rsidR="00EE3A11" w:rsidRPr="00A12DDE" w:rsidRDefault="00E76A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Popo Road, off Mombasa Road, Behind Bellevue Cinema</w:t>
            </w:r>
          </w:p>
          <w:p w14:paraId="7B71352B" w14:textId="77777777" w:rsidR="00EE3A11" w:rsidRPr="00A12DDE" w:rsidRDefault="00E76A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54974</w:t>
            </w:r>
          </w:p>
          <w:p w14:paraId="4111BA51" w14:textId="77777777" w:rsidR="00EE3A11" w:rsidRPr="00A12DDE" w:rsidRDefault="00E76A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+(254) 722 202137; +(254) 724 255242</w:t>
            </w:r>
          </w:p>
          <w:p w14:paraId="60258D77" w14:textId="77777777" w:rsidR="00EE3A11" w:rsidRPr="00A12DDE" w:rsidRDefault="00E76A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+(254) 20 609660; +(254) 20 604031</w:t>
            </w:r>
          </w:p>
          <w:p w14:paraId="1BB0F87B" w14:textId="77777777" w:rsidR="00EE3A11" w:rsidRPr="00A12DDE" w:rsidRDefault="00E76A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6F394FE3" w14:textId="77777777" w:rsidR="00EE3A11" w:rsidRPr="00A12DDE" w:rsidRDefault="00E76A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https://www.kebs.org</w:t>
              </w:r>
            </w:hyperlink>
          </w:p>
          <w:p w14:paraId="04BAA311" w14:textId="77777777" w:rsidR="00EE3A11" w:rsidRPr="00A12DDE" w:rsidRDefault="0083208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76A55" w:rsidRPr="00A12DDE">
                <w:rPr>
                  <w:bCs/>
                  <w:color w:val="0000FF"/>
                  <w:u w:val="single"/>
                </w:rPr>
                <w:t>https://members.wto.org/crnattachments/2023/TBT/KEN/23_0461_00_e.pdf</w:t>
              </w:r>
            </w:hyperlink>
            <w:bookmarkEnd w:id="42"/>
          </w:p>
        </w:tc>
      </w:tr>
    </w:tbl>
    <w:p w14:paraId="4FF94134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4194" w14:textId="77777777" w:rsidR="00DC070F" w:rsidRDefault="00E76A55">
      <w:r>
        <w:separator/>
      </w:r>
    </w:p>
  </w:endnote>
  <w:endnote w:type="continuationSeparator" w:id="0">
    <w:p w14:paraId="0CD3E470" w14:textId="77777777" w:rsidR="00DC070F" w:rsidRDefault="00E7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1FDF" w14:textId="77777777" w:rsidR="009239F7" w:rsidRPr="002F6A28" w:rsidRDefault="00E76A5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E44B1" w14:textId="77777777" w:rsidR="009239F7" w:rsidRPr="002F6A28" w:rsidRDefault="00E76A5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450D" w14:textId="77777777" w:rsidR="00EE3A11" w:rsidRPr="002F6A28" w:rsidRDefault="00E76A5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422E" w14:textId="77777777" w:rsidR="00DC070F" w:rsidRDefault="00E76A55">
      <w:r>
        <w:separator/>
      </w:r>
    </w:p>
  </w:footnote>
  <w:footnote w:type="continuationSeparator" w:id="0">
    <w:p w14:paraId="5879B30A" w14:textId="77777777" w:rsidR="00DC070F" w:rsidRDefault="00E7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45D0" w14:textId="77777777" w:rsidR="009239F7" w:rsidRPr="002F6A28" w:rsidRDefault="00E76A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1603FD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7DD793" w14:textId="77777777" w:rsidR="009239F7" w:rsidRPr="002F6A28" w:rsidRDefault="00E76A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AC3EC4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44D8" w14:textId="77777777" w:rsidR="009239F7" w:rsidRPr="002F6A28" w:rsidRDefault="00E76A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G/TBT/N/KEN/1371</w:t>
    </w:r>
    <w:bookmarkEnd w:id="43"/>
  </w:p>
  <w:p w14:paraId="39ACDD9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BEFDB8" w14:textId="77777777" w:rsidR="009239F7" w:rsidRPr="002F6A28" w:rsidRDefault="00E76A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18575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701B3" w14:paraId="6059556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F6162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D405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701B3" w14:paraId="3317D91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E2DC1CE" w14:textId="77777777" w:rsidR="00ED54E0" w:rsidRPr="009239F7" w:rsidRDefault="00E76A5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3B2236" wp14:editId="659C50C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97444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70EBE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701B3" w14:paraId="3325388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F0E43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709C34" w14:textId="77777777" w:rsidR="009239F7" w:rsidRPr="002F6A28" w:rsidRDefault="00E76A5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G/TBT/N/KEN/1371</w:t>
          </w:r>
          <w:bookmarkEnd w:id="45"/>
        </w:p>
      </w:tc>
    </w:tr>
    <w:tr w:rsidR="000701B3" w14:paraId="21D1B5C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F6716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686403" w14:textId="7D56815E" w:rsidR="00ED54E0" w:rsidRPr="009239F7" w:rsidRDefault="00E76A5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18 January 2023</w:t>
          </w:r>
        </w:p>
      </w:tc>
    </w:tr>
    <w:tr w:rsidR="000701B3" w14:paraId="2608689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36B82F" w14:textId="08AABC56" w:rsidR="00ED54E0" w:rsidRPr="009239F7" w:rsidRDefault="00E76A5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832084">
            <w:rPr>
              <w:color w:val="FF0000"/>
              <w:szCs w:val="16"/>
            </w:rPr>
            <w:t>425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449B59" w14:textId="77777777" w:rsidR="00ED54E0" w:rsidRPr="009239F7" w:rsidRDefault="00E76A5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701B3" w14:paraId="383BCA6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A25396" w14:textId="77777777" w:rsidR="00ED54E0" w:rsidRPr="009239F7" w:rsidRDefault="00E76A5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6D6156" w14:textId="77777777" w:rsidR="00ED54E0" w:rsidRPr="002F6A28" w:rsidRDefault="00E76A5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8D19B8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134FA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5848686" w:tentative="1">
      <w:start w:val="1"/>
      <w:numFmt w:val="lowerLetter"/>
      <w:lvlText w:val="%2."/>
      <w:lvlJc w:val="left"/>
      <w:pPr>
        <w:ind w:left="1080" w:hanging="360"/>
      </w:pPr>
    </w:lvl>
    <w:lvl w:ilvl="2" w:tplc="3702BCF8" w:tentative="1">
      <w:start w:val="1"/>
      <w:numFmt w:val="lowerRoman"/>
      <w:lvlText w:val="%3."/>
      <w:lvlJc w:val="right"/>
      <w:pPr>
        <w:ind w:left="1800" w:hanging="180"/>
      </w:pPr>
    </w:lvl>
    <w:lvl w:ilvl="3" w:tplc="E6DC0C80" w:tentative="1">
      <w:start w:val="1"/>
      <w:numFmt w:val="decimal"/>
      <w:lvlText w:val="%4."/>
      <w:lvlJc w:val="left"/>
      <w:pPr>
        <w:ind w:left="2520" w:hanging="360"/>
      </w:pPr>
    </w:lvl>
    <w:lvl w:ilvl="4" w:tplc="CE4EFBE2" w:tentative="1">
      <w:start w:val="1"/>
      <w:numFmt w:val="lowerLetter"/>
      <w:lvlText w:val="%5."/>
      <w:lvlJc w:val="left"/>
      <w:pPr>
        <w:ind w:left="3240" w:hanging="360"/>
      </w:pPr>
    </w:lvl>
    <w:lvl w:ilvl="5" w:tplc="A6266BEA" w:tentative="1">
      <w:start w:val="1"/>
      <w:numFmt w:val="lowerRoman"/>
      <w:lvlText w:val="%6."/>
      <w:lvlJc w:val="right"/>
      <w:pPr>
        <w:ind w:left="3960" w:hanging="180"/>
      </w:pPr>
    </w:lvl>
    <w:lvl w:ilvl="6" w:tplc="6C7E9E96" w:tentative="1">
      <w:start w:val="1"/>
      <w:numFmt w:val="decimal"/>
      <w:lvlText w:val="%7."/>
      <w:lvlJc w:val="left"/>
      <w:pPr>
        <w:ind w:left="4680" w:hanging="360"/>
      </w:pPr>
    </w:lvl>
    <w:lvl w:ilvl="7" w:tplc="5524C9DA" w:tentative="1">
      <w:start w:val="1"/>
      <w:numFmt w:val="lowerLetter"/>
      <w:lvlText w:val="%8."/>
      <w:lvlJc w:val="left"/>
      <w:pPr>
        <w:ind w:left="5400" w:hanging="360"/>
      </w:pPr>
    </w:lvl>
    <w:lvl w:ilvl="8" w:tplc="66902F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01B3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2818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084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E7452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C070F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6A55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38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46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2023-01-18T08:52:00Z</dcterms:created>
  <dcterms:modified xsi:type="dcterms:W3CDTF">2023-01-18T09:49:00Z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