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0BCB" w14:textId="77777777" w:rsidR="002D78C9" w:rsidRDefault="0092239F" w:rsidP="00DD3DD7">
      <w:pPr>
        <w:pStyle w:val="Title"/>
      </w:pPr>
      <w:r w:rsidRPr="002F663C">
        <w:t>NOTIFICATION</w:t>
      </w:r>
    </w:p>
    <w:p w14:paraId="2BDE3F7E" w14:textId="77777777" w:rsidR="002F663C" w:rsidRPr="002F663C" w:rsidRDefault="0092239F" w:rsidP="00DD3DD7">
      <w:pPr>
        <w:pStyle w:val="Title3"/>
      </w:pPr>
      <w:r w:rsidRPr="002F663C">
        <w:t>Addendum</w:t>
      </w:r>
    </w:p>
    <w:p w14:paraId="083688F6" w14:textId="77777777" w:rsidR="002F663C" w:rsidRDefault="0092239F"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12 October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2F310415" w14:textId="77777777" w:rsidR="001E2E4A" w:rsidRPr="002F663C" w:rsidRDefault="001E2E4A" w:rsidP="001E2E4A">
      <w:pPr>
        <w:rPr>
          <w:rFonts w:eastAsia="Calibri" w:cs="Times New Roman"/>
        </w:rPr>
      </w:pPr>
    </w:p>
    <w:p w14:paraId="067674BF" w14:textId="77777777" w:rsidR="002F663C" w:rsidRPr="002F663C" w:rsidRDefault="0092239F" w:rsidP="002F663C">
      <w:pPr>
        <w:jc w:val="center"/>
        <w:rPr>
          <w:rFonts w:eastAsia="Calibri" w:cs="Times New Roman"/>
          <w:b/>
        </w:rPr>
      </w:pPr>
      <w:r w:rsidRPr="002F663C">
        <w:rPr>
          <w:rFonts w:eastAsia="Calibri" w:cs="Times New Roman"/>
          <w:b/>
        </w:rPr>
        <w:t>_______________</w:t>
      </w:r>
    </w:p>
    <w:p w14:paraId="09697212" w14:textId="77777777" w:rsidR="002F663C" w:rsidRDefault="002F663C" w:rsidP="002F663C">
      <w:pPr>
        <w:rPr>
          <w:rFonts w:eastAsia="Calibri" w:cs="Times New Roman"/>
        </w:rPr>
      </w:pPr>
    </w:p>
    <w:p w14:paraId="2D49D63C" w14:textId="77777777" w:rsidR="00C14444" w:rsidRPr="002F663C" w:rsidRDefault="00C14444" w:rsidP="002F663C">
      <w:pPr>
        <w:rPr>
          <w:rFonts w:eastAsia="Calibri" w:cs="Times New Roman"/>
        </w:rPr>
      </w:pPr>
    </w:p>
    <w:p w14:paraId="04AC9065" w14:textId="77777777" w:rsidR="002F663C" w:rsidRPr="002F663C" w:rsidRDefault="0092239F"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The Egyptian Standard ES 382-2 "Ethyl Alcohol- part2: Alcohol Denaturants – Specification" "(partial amendment)</w:t>
      </w:r>
      <w:r w:rsidRPr="00022513">
        <w:rPr>
          <w:rFonts w:eastAsia="Calibri" w:cs="Times New Roman"/>
          <w:b/>
          <w:bCs/>
          <w:szCs w:val="18"/>
        </w:rPr>
        <w:t>.</w:t>
      </w:r>
      <w:bookmarkEnd w:id="3"/>
    </w:p>
    <w:p w14:paraId="6B2C28F0"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DC65A2" w14:paraId="54EE91AA"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182B6C83" w14:textId="77777777" w:rsidR="002F663C" w:rsidRPr="002F663C" w:rsidRDefault="0092239F"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DC65A2" w14:paraId="5790DA8E" w14:textId="77777777" w:rsidTr="00E9471B">
        <w:tc>
          <w:tcPr>
            <w:tcW w:w="851" w:type="dxa"/>
            <w:shd w:val="clear" w:color="auto" w:fill="auto"/>
          </w:tcPr>
          <w:p w14:paraId="5F5709D0" w14:textId="77777777" w:rsidR="002F663C" w:rsidRPr="00711F9C" w:rsidRDefault="0092239F"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29204F59" w14:textId="77777777" w:rsidR="002F663C" w:rsidRPr="002F663C" w:rsidRDefault="0092239F"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DC65A2" w14:paraId="0F78044B" w14:textId="77777777" w:rsidTr="00E9471B">
        <w:tc>
          <w:tcPr>
            <w:tcW w:w="851" w:type="dxa"/>
            <w:shd w:val="clear" w:color="auto" w:fill="auto"/>
          </w:tcPr>
          <w:p w14:paraId="6B1D4F87" w14:textId="77777777" w:rsidR="002F663C" w:rsidRPr="00711F9C" w:rsidRDefault="0092239F"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5E80D4FE" w14:textId="77777777" w:rsidR="002F663C" w:rsidRPr="002F663C" w:rsidRDefault="0092239F"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DC65A2" w14:paraId="43AF462F" w14:textId="77777777" w:rsidTr="00E9471B">
        <w:tc>
          <w:tcPr>
            <w:tcW w:w="851" w:type="dxa"/>
            <w:shd w:val="clear" w:color="auto" w:fill="auto"/>
          </w:tcPr>
          <w:p w14:paraId="0A4979EE" w14:textId="77777777" w:rsidR="002F663C" w:rsidRPr="00711F9C" w:rsidRDefault="0092239F"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3FD75A48" w14:textId="77777777" w:rsidR="002F663C" w:rsidRPr="002F663C" w:rsidRDefault="0092239F"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DC65A2" w14:paraId="411006CC" w14:textId="77777777" w:rsidTr="00E9471B">
        <w:tc>
          <w:tcPr>
            <w:tcW w:w="851" w:type="dxa"/>
            <w:shd w:val="clear" w:color="auto" w:fill="auto"/>
          </w:tcPr>
          <w:p w14:paraId="36246499" w14:textId="77777777" w:rsidR="002F663C" w:rsidRPr="00711F9C" w:rsidRDefault="0092239F"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2D340E29" w14:textId="77777777" w:rsidR="002F663C" w:rsidRPr="002F663C" w:rsidRDefault="0092239F"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DC65A2" w14:paraId="2D323D8F" w14:textId="77777777" w:rsidTr="00E9471B">
        <w:tc>
          <w:tcPr>
            <w:tcW w:w="851" w:type="dxa"/>
            <w:shd w:val="clear" w:color="auto" w:fill="auto"/>
          </w:tcPr>
          <w:p w14:paraId="1EE19A07" w14:textId="77777777" w:rsidR="002F663C" w:rsidRPr="00711F9C" w:rsidRDefault="0092239F"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4FDEB0D2" w14:textId="77777777" w:rsidR="002F663C" w:rsidRPr="002F663C" w:rsidRDefault="0092239F"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DC65A2" w14:paraId="17444122" w14:textId="77777777" w:rsidTr="00E9471B">
        <w:tc>
          <w:tcPr>
            <w:tcW w:w="851" w:type="dxa"/>
            <w:shd w:val="clear" w:color="auto" w:fill="auto"/>
          </w:tcPr>
          <w:p w14:paraId="7B70658C" w14:textId="77777777" w:rsidR="002F663C" w:rsidRPr="00711F9C" w:rsidRDefault="0092239F"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21F49A75" w14:textId="77777777" w:rsidR="002F663C" w:rsidRPr="002F663C" w:rsidRDefault="0092239F"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3FD631E0" w14:textId="77777777" w:rsidR="002F663C" w:rsidRPr="002F663C" w:rsidRDefault="0092239F"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DC65A2" w14:paraId="54B77DCA" w14:textId="77777777" w:rsidTr="00E9471B">
        <w:tc>
          <w:tcPr>
            <w:tcW w:w="851" w:type="dxa"/>
            <w:shd w:val="clear" w:color="auto" w:fill="auto"/>
          </w:tcPr>
          <w:p w14:paraId="30837844" w14:textId="77777777" w:rsidR="002F663C" w:rsidRPr="00711F9C" w:rsidRDefault="0092239F"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X</w:t>
            </w:r>
            <w:bookmarkEnd w:id="19"/>
            <w:r w:rsidRPr="00711F9C">
              <w:rPr>
                <w:rFonts w:eastAsia="Calibri" w:cs="Times New Roman"/>
                <w:szCs w:val="18"/>
              </w:rPr>
              <w:t>]</w:t>
            </w:r>
          </w:p>
        </w:tc>
        <w:tc>
          <w:tcPr>
            <w:tcW w:w="8198" w:type="dxa"/>
            <w:shd w:val="clear" w:color="auto" w:fill="auto"/>
          </w:tcPr>
          <w:p w14:paraId="3EA9840C" w14:textId="77777777" w:rsidR="002F663C" w:rsidRPr="002F663C" w:rsidRDefault="0092239F" w:rsidP="00C14444">
            <w:pPr>
              <w:spacing w:before="60" w:after="12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p>
          <w:p w14:paraId="083B94CF" w14:textId="77777777" w:rsidR="00082727" w:rsidRDefault="0092239F" w:rsidP="00C14444">
            <w:pPr>
              <w:spacing w:before="120" w:after="120"/>
              <w:rPr>
                <w:rFonts w:eastAsia="Calibri" w:cs="Times New Roman"/>
              </w:rPr>
            </w:pPr>
            <w:r>
              <w:rPr>
                <w:rFonts w:eastAsia="Calibri" w:cs="Times New Roman"/>
              </w:rPr>
              <w:t>The Egyptian Standard ES 382-2 "Ethyl Alcohol- part2: Alcohol Denaturants – Specification" (partial amendment).</w:t>
            </w:r>
            <w:bookmarkEnd w:id="20"/>
          </w:p>
          <w:p w14:paraId="70C87182" w14:textId="77777777" w:rsidR="002F663C" w:rsidRPr="002F663C" w:rsidRDefault="0092239F"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DC65A2" w14:paraId="14F4C2D9" w14:textId="77777777" w:rsidTr="00E9471B">
        <w:tc>
          <w:tcPr>
            <w:tcW w:w="851" w:type="dxa"/>
            <w:shd w:val="clear" w:color="auto" w:fill="auto"/>
          </w:tcPr>
          <w:p w14:paraId="1E618813" w14:textId="77777777" w:rsidR="002F663C" w:rsidRPr="00711F9C" w:rsidRDefault="0092239F"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1EAE04A4" w14:textId="77777777" w:rsidR="002F663C" w:rsidRPr="002F663C" w:rsidRDefault="0092239F"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DC65A2" w14:paraId="1CA267F7" w14:textId="77777777" w:rsidTr="00E9471B">
        <w:tc>
          <w:tcPr>
            <w:tcW w:w="851" w:type="dxa"/>
            <w:tcBorders>
              <w:bottom w:val="double" w:sz="4" w:space="0" w:color="auto"/>
            </w:tcBorders>
            <w:shd w:val="clear" w:color="auto" w:fill="auto"/>
          </w:tcPr>
          <w:p w14:paraId="0CE3CC50" w14:textId="77777777" w:rsidR="002F663C" w:rsidRPr="00711F9C" w:rsidRDefault="0092239F"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1A21C57F" w14:textId="77777777" w:rsidR="002F663C" w:rsidRPr="002F663C" w:rsidRDefault="0092239F"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1D7B2581" w14:textId="77777777" w:rsidR="002F663C" w:rsidRPr="002F663C" w:rsidRDefault="002F663C" w:rsidP="002F663C">
      <w:pPr>
        <w:jc w:val="left"/>
        <w:rPr>
          <w:rFonts w:eastAsia="Calibri" w:cs="Times New Roman"/>
          <w:highlight w:val="yellow"/>
        </w:rPr>
      </w:pPr>
    </w:p>
    <w:p w14:paraId="185A973D" w14:textId="77777777" w:rsidR="003971FF" w:rsidRPr="007F6EA2" w:rsidRDefault="0092239F"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 xml:space="preserve">Products covered: (ICS 71.100.80) Chemicals for purification of water </w:t>
      </w:r>
    </w:p>
    <w:p w14:paraId="6668BCAD"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This addendum concerns the notification of draft of Egyptian Standard ES 382-2 "Ethyl Alcohol- part2: Alcohol Denaturants – Specification" (partial amendment in 1 page, in Arabic).</w:t>
      </w:r>
    </w:p>
    <w:p w14:paraId="5B1B178E"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It should be noted that the Ministerial Decree No. 524/2021 (2 pages, in Arabic) which was formerly notified in G/TBT/N/</w:t>
      </w:r>
      <w:proofErr w:type="spellStart"/>
      <w:r w:rsidRPr="002F663C">
        <w:rPr>
          <w:rFonts w:eastAsia="Calibri" w:cs="Times New Roman"/>
          <w:szCs w:val="18"/>
        </w:rPr>
        <w:t>EGY</w:t>
      </w:r>
      <w:proofErr w:type="spellEnd"/>
      <w:r w:rsidRPr="002F663C">
        <w:rPr>
          <w:rFonts w:eastAsia="Calibri" w:cs="Times New Roman"/>
          <w:szCs w:val="18"/>
        </w:rPr>
        <w:t>/3/Add.49 dated 14 February 2022 mandated among others the earlier version of this Egyptian Standard.</w:t>
      </w:r>
    </w:p>
    <w:p w14:paraId="39639334"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Worth mentioning is that this standard has been partially modified in the following items:</w:t>
      </w:r>
    </w:p>
    <w:p w14:paraId="3C130BF4"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Introduction:</w:t>
      </w:r>
    </w:p>
    <w:p w14:paraId="41BE7638"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The following is added:</w:t>
      </w:r>
    </w:p>
    <w:p w14:paraId="42CA0F5F"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lastRenderedPageBreak/>
        <w:t>- Annex F indicates the deviation from IS 4117/2008</w:t>
      </w:r>
    </w:p>
    <w:p w14:paraId="5CBC7EDC"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Annex (b) table (b/1) adds the following:</w:t>
      </w:r>
    </w:p>
    <w:p w14:paraId="465BA579"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1- In case of using SD11a (0.125 litre Tertiary butyl alcohol + 0.468 g Denatonium benzoate) For every 100 litres of ethyl alcohol with a concentration of 95 % in the production of ethylene gas, the following must be followed:</w:t>
      </w:r>
    </w:p>
    <w:p w14:paraId="44E7EDD8"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Producing and importing companies must adhere to the proportions listed in the above formula for the production of Ethylene Gas.</w:t>
      </w:r>
    </w:p>
    <w:p w14:paraId="109C5DF9"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In case of, non-compliance with the above-mentioned formula converted alcohol will be treated as non-converted alcohol.</w:t>
      </w:r>
    </w:p>
    <w:p w14:paraId="59CDDF84"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Regarding, the SD11a copy plate used in the conversion of ethyl alcohol to produce ethylene gas. Customs, tax authorities and other regulatory authorities must verify the actual user, the end usage, the determined end usage and the quantity required for the product or the processes applied before this formula is allowed.</w:t>
      </w:r>
    </w:p>
    <w:p w14:paraId="4A049E6C"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Emphasizing on, that in case of changing the mentioned proportions related to this formula, the alcohol will be isolated easily, and must be treated as non-converted alcohol by all concerned bodies.</w:t>
      </w:r>
    </w:p>
    <w:p w14:paraId="2E3E7C69"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2- Annex (f)" Add the above-mentioned items in the table of deviation from the Indian standard. "</w:t>
      </w:r>
    </w:p>
    <w:p w14:paraId="2E37A68E"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Worth mentioning is that this standard is technically identical with IS 4117/2008.</w:t>
      </w:r>
    </w:p>
    <w:p w14:paraId="27FD6A55"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 through the publication of administrative orders in the official gazette.</w:t>
      </w:r>
    </w:p>
    <w:p w14:paraId="3FE50310"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Date of adoption: To be determined.</w:t>
      </w:r>
    </w:p>
    <w:p w14:paraId="4FB361E4"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Date of entry into force: To be determined</w:t>
      </w:r>
    </w:p>
    <w:p w14:paraId="2FBF42F1"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 Egyptian Organization for Standardization and Quality</w:t>
      </w:r>
    </w:p>
    <w:p w14:paraId="5777EC98"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xml:space="preserve">16 </w:t>
      </w:r>
      <w:proofErr w:type="spellStart"/>
      <w:r w:rsidRPr="002F663C">
        <w:rPr>
          <w:rFonts w:eastAsia="Calibri" w:cs="Times New Roman"/>
          <w:szCs w:val="18"/>
        </w:rPr>
        <w:t>Tadreeb</w:t>
      </w:r>
      <w:proofErr w:type="spellEnd"/>
      <w:r w:rsidRPr="002F663C">
        <w:rPr>
          <w:rFonts w:eastAsia="Calibri" w:cs="Times New Roman"/>
          <w:szCs w:val="18"/>
        </w:rPr>
        <w:t xml:space="preserve"> El-</w:t>
      </w:r>
      <w:proofErr w:type="spellStart"/>
      <w:r w:rsidRPr="002F663C">
        <w:rPr>
          <w:rFonts w:eastAsia="Calibri" w:cs="Times New Roman"/>
          <w:szCs w:val="18"/>
        </w:rPr>
        <w:t>Modarrebeen</w:t>
      </w:r>
      <w:proofErr w:type="spellEnd"/>
      <w:r w:rsidRPr="002F663C">
        <w:rPr>
          <w:rFonts w:eastAsia="Calibri" w:cs="Times New Roman"/>
          <w:szCs w:val="18"/>
        </w:rPr>
        <w:t xml:space="preserve"> St., </w:t>
      </w:r>
      <w:proofErr w:type="spellStart"/>
      <w:r w:rsidRPr="002F663C">
        <w:rPr>
          <w:rFonts w:eastAsia="Calibri" w:cs="Times New Roman"/>
          <w:szCs w:val="18"/>
        </w:rPr>
        <w:t>Ameriya</w:t>
      </w:r>
      <w:proofErr w:type="spellEnd"/>
      <w:r w:rsidRPr="002F663C">
        <w:rPr>
          <w:rFonts w:eastAsia="Calibri" w:cs="Times New Roman"/>
          <w:szCs w:val="18"/>
        </w:rPr>
        <w:t>, Cairo – Egypt</w:t>
      </w:r>
    </w:p>
    <w:p w14:paraId="2EBC6347"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Tel: + (202) 22845528</w:t>
      </w:r>
    </w:p>
    <w:p w14:paraId="0C396F64"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Fax: + (202) 22845504</w:t>
      </w:r>
    </w:p>
    <w:p w14:paraId="12730594"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xml:space="preserve">E-mail: </w:t>
      </w:r>
      <w:hyperlink r:id="rId9" w:history="1">
        <w:r w:rsidRPr="002F663C">
          <w:rPr>
            <w:rFonts w:eastAsia="Calibri" w:cs="Times New Roman"/>
            <w:color w:val="0000FF"/>
            <w:szCs w:val="18"/>
            <w:u w:val="single"/>
          </w:rPr>
          <w:t>eos@idsc.net.eg</w:t>
        </w:r>
      </w:hyperlink>
      <w:hyperlink r:id="rId10" w:history="1">
        <w:r w:rsidRPr="002F663C">
          <w:rPr>
            <w:rFonts w:eastAsia="Calibri" w:cs="Times New Roman"/>
            <w:color w:val="0000FF"/>
            <w:szCs w:val="18"/>
            <w:u w:val="single"/>
          </w:rPr>
          <w:t>/eos.tbt@eos.org.eg</w:t>
        </w:r>
      </w:hyperlink>
    </w:p>
    <w:p w14:paraId="61A9C5B9" w14:textId="77777777" w:rsidR="002162B2" w:rsidRPr="002F663C" w:rsidRDefault="0092239F" w:rsidP="00B16ACF">
      <w:pPr>
        <w:spacing w:before="120" w:after="120"/>
        <w:rPr>
          <w:rFonts w:eastAsia="Calibri" w:cs="Times New Roman"/>
          <w:szCs w:val="18"/>
        </w:rPr>
      </w:pPr>
      <w:r w:rsidRPr="002F663C">
        <w:rPr>
          <w:rFonts w:eastAsia="Calibri" w:cs="Times New Roman"/>
          <w:szCs w:val="18"/>
        </w:rPr>
        <w:t xml:space="preserve">Website: </w:t>
      </w:r>
      <w:hyperlink r:id="rId11" w:history="1">
        <w:r w:rsidRPr="002F663C">
          <w:rPr>
            <w:rFonts w:eastAsia="Calibri" w:cs="Times New Roman"/>
            <w:color w:val="0000FF"/>
            <w:szCs w:val="18"/>
            <w:u w:val="single"/>
          </w:rPr>
          <w:t>http://www.eos.org.eg</w:t>
        </w:r>
      </w:hyperlink>
      <w:bookmarkEnd w:id="26"/>
    </w:p>
    <w:p w14:paraId="49132492" w14:textId="77777777" w:rsidR="006C5A96" w:rsidRDefault="0092239F" w:rsidP="006C5A96">
      <w:pPr>
        <w:jc w:val="center"/>
        <w:rPr>
          <w:b/>
        </w:rPr>
      </w:pPr>
      <w:r w:rsidRPr="003971FF">
        <w:rPr>
          <w:b/>
        </w:rPr>
        <w:t>__________</w:t>
      </w:r>
    </w:p>
    <w:p w14:paraId="7E6ED11F" w14:textId="77777777" w:rsidR="004D4D19" w:rsidRDefault="004D4D19" w:rsidP="007F38C2">
      <w:pPr>
        <w:jc w:val="center"/>
        <w:rPr>
          <w:b/>
        </w:rPr>
      </w:pPr>
    </w:p>
    <w:p w14:paraId="7C599B87"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AFED" w14:textId="77777777" w:rsidR="00DD2CC3" w:rsidRDefault="0092239F">
      <w:r>
        <w:separator/>
      </w:r>
    </w:p>
  </w:endnote>
  <w:endnote w:type="continuationSeparator" w:id="0">
    <w:p w14:paraId="0950A6F6" w14:textId="77777777" w:rsidR="00DD2CC3" w:rsidRDefault="0092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60DE" w14:textId="77777777" w:rsidR="00544326" w:rsidRPr="00DD3DD7" w:rsidRDefault="0092239F"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813C" w14:textId="77777777" w:rsidR="00544326" w:rsidRPr="00DD3DD7" w:rsidRDefault="0092239F" w:rsidP="00DD3DD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7427" w14:textId="77777777" w:rsidR="000248E6" w:rsidRDefault="0092239F" w:rsidP="00ED54E0">
      <w:r>
        <w:separator/>
      </w:r>
    </w:p>
  </w:footnote>
  <w:footnote w:type="continuationSeparator" w:id="0">
    <w:p w14:paraId="720EF863" w14:textId="77777777" w:rsidR="000248E6" w:rsidRDefault="0092239F" w:rsidP="00ED54E0">
      <w:r>
        <w:continuationSeparator/>
      </w:r>
    </w:p>
  </w:footnote>
  <w:footnote w:id="1">
    <w:p w14:paraId="08F1C7D1" w14:textId="77777777" w:rsidR="007F6EA2" w:rsidRDefault="0092239F">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4A31" w14:textId="77777777" w:rsidR="00DD3DD7" w:rsidRDefault="0092239F"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4E77DF7D" w14:textId="77777777" w:rsidR="004D4D19" w:rsidRPr="00DD3DD7" w:rsidRDefault="004D4D19" w:rsidP="00DD3DD7">
    <w:pPr>
      <w:pStyle w:val="Header"/>
      <w:pBdr>
        <w:bottom w:val="single" w:sz="4" w:space="1" w:color="auto"/>
      </w:pBdr>
      <w:tabs>
        <w:tab w:val="clear" w:pos="4513"/>
        <w:tab w:val="clear" w:pos="9027"/>
      </w:tabs>
      <w:jc w:val="center"/>
    </w:pPr>
  </w:p>
  <w:p w14:paraId="67C5A642" w14:textId="77777777" w:rsidR="00DD3DD7" w:rsidRPr="00DD3DD7" w:rsidRDefault="0092239F"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248828BD"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CAC5" w14:textId="77777777" w:rsidR="00DD3DD7" w:rsidRPr="00DD3DD7" w:rsidRDefault="0092239F" w:rsidP="00DD3DD7">
    <w:pPr>
      <w:pStyle w:val="Header"/>
      <w:pBdr>
        <w:bottom w:val="single" w:sz="4" w:space="1" w:color="auto"/>
      </w:pBdr>
      <w:tabs>
        <w:tab w:val="clear" w:pos="4513"/>
        <w:tab w:val="clear" w:pos="9027"/>
      </w:tabs>
      <w:jc w:val="center"/>
    </w:pPr>
    <w:bookmarkStart w:id="28" w:name="spsSymbolHeader"/>
    <w:r w:rsidRPr="00DD3DD7">
      <w:t>G/TBT/N/</w:t>
    </w:r>
    <w:proofErr w:type="spellStart"/>
    <w:r w:rsidRPr="00DD3DD7">
      <w:t>EGY</w:t>
    </w:r>
    <w:proofErr w:type="spellEnd"/>
    <w:r w:rsidRPr="00DD3DD7">
      <w:t>/3/Add.62</w:t>
    </w:r>
    <w:bookmarkEnd w:id="28"/>
  </w:p>
  <w:p w14:paraId="5864ACF3" w14:textId="77777777" w:rsidR="00DD3DD7" w:rsidRPr="00DD3DD7" w:rsidRDefault="00DD3DD7" w:rsidP="00DD3DD7">
    <w:pPr>
      <w:pStyle w:val="Header"/>
      <w:pBdr>
        <w:bottom w:val="single" w:sz="4" w:space="1" w:color="auto"/>
      </w:pBdr>
      <w:tabs>
        <w:tab w:val="clear" w:pos="4513"/>
        <w:tab w:val="clear" w:pos="9027"/>
      </w:tabs>
      <w:jc w:val="center"/>
    </w:pPr>
  </w:p>
  <w:p w14:paraId="294BC7C3" w14:textId="77777777" w:rsidR="00DD3DD7" w:rsidRPr="00DD3DD7" w:rsidRDefault="0092239F"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5B3B4361"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C65A2" w14:paraId="218A82D2" w14:textId="77777777" w:rsidTr="00544326">
      <w:trPr>
        <w:trHeight w:val="240"/>
        <w:jc w:val="center"/>
      </w:trPr>
      <w:tc>
        <w:tcPr>
          <w:tcW w:w="3794" w:type="dxa"/>
          <w:shd w:val="clear" w:color="auto" w:fill="FFFFFF"/>
          <w:tcMar>
            <w:left w:w="108" w:type="dxa"/>
            <w:right w:w="108" w:type="dxa"/>
          </w:tcMar>
          <w:vAlign w:val="center"/>
        </w:tcPr>
        <w:p w14:paraId="62AF1806"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723976AB" w14:textId="77777777" w:rsidR="00ED54E0" w:rsidRPr="00182B84" w:rsidRDefault="0092239F" w:rsidP="00425DC5">
          <w:pPr>
            <w:jc w:val="right"/>
            <w:rPr>
              <w:b/>
              <w:color w:val="FF0000"/>
              <w:szCs w:val="16"/>
            </w:rPr>
          </w:pPr>
          <w:r>
            <w:rPr>
              <w:b/>
              <w:color w:val="FF0000"/>
              <w:szCs w:val="16"/>
            </w:rPr>
            <w:t xml:space="preserve"> </w:t>
          </w:r>
        </w:p>
      </w:tc>
    </w:tr>
    <w:tr w:rsidR="00DC65A2" w14:paraId="6724C147" w14:textId="77777777" w:rsidTr="00544326">
      <w:trPr>
        <w:trHeight w:val="213"/>
        <w:jc w:val="center"/>
      </w:trPr>
      <w:tc>
        <w:tcPr>
          <w:tcW w:w="3794" w:type="dxa"/>
          <w:vMerge w:val="restart"/>
          <w:shd w:val="clear" w:color="auto" w:fill="FFFFFF"/>
          <w:tcMar>
            <w:left w:w="0" w:type="dxa"/>
            <w:right w:w="0" w:type="dxa"/>
          </w:tcMar>
        </w:tcPr>
        <w:p w14:paraId="59C98023" w14:textId="77777777" w:rsidR="00ED54E0" w:rsidRPr="00182B84" w:rsidRDefault="0092239F" w:rsidP="00425DC5">
          <w:pPr>
            <w:jc w:val="left"/>
          </w:pPr>
          <w:r w:rsidRPr="00182B84">
            <w:rPr>
              <w:noProof/>
              <w:lang w:val="en-US"/>
            </w:rPr>
            <w:drawing>
              <wp:inline distT="0" distB="0" distL="0" distR="0" wp14:anchorId="4CB08D13" wp14:editId="2C20FF6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128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45B45B" w14:textId="77777777" w:rsidR="00ED54E0" w:rsidRPr="00182B84" w:rsidRDefault="00ED54E0" w:rsidP="00425DC5">
          <w:pPr>
            <w:jc w:val="right"/>
            <w:rPr>
              <w:b/>
              <w:szCs w:val="16"/>
            </w:rPr>
          </w:pPr>
        </w:p>
      </w:tc>
    </w:tr>
    <w:tr w:rsidR="00DC65A2" w14:paraId="5E896EC1" w14:textId="77777777" w:rsidTr="00544326">
      <w:trPr>
        <w:trHeight w:val="868"/>
        <w:jc w:val="center"/>
      </w:trPr>
      <w:tc>
        <w:tcPr>
          <w:tcW w:w="3794" w:type="dxa"/>
          <w:vMerge/>
          <w:shd w:val="clear" w:color="auto" w:fill="FFFFFF"/>
          <w:tcMar>
            <w:left w:w="108" w:type="dxa"/>
            <w:right w:w="108" w:type="dxa"/>
          </w:tcMar>
        </w:tcPr>
        <w:p w14:paraId="08179FCE"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0D5A619A" w14:textId="77777777" w:rsidR="00DD3DD7" w:rsidRPr="002F663C" w:rsidRDefault="0092239F" w:rsidP="00DD3DD7">
          <w:pPr>
            <w:jc w:val="right"/>
            <w:rPr>
              <w:rFonts w:eastAsia="Calibri" w:cs="Times New Roman"/>
              <w:b/>
              <w:szCs w:val="16"/>
            </w:rPr>
          </w:pPr>
          <w:bookmarkStart w:id="29" w:name="bmkSymbols"/>
          <w:r w:rsidRPr="002F663C">
            <w:rPr>
              <w:rFonts w:eastAsia="Calibri" w:cs="Times New Roman"/>
              <w:b/>
              <w:szCs w:val="16"/>
            </w:rPr>
            <w:t>G/TBT/N/</w:t>
          </w:r>
          <w:proofErr w:type="spellStart"/>
          <w:r w:rsidRPr="002F663C">
            <w:rPr>
              <w:rFonts w:eastAsia="Calibri" w:cs="Times New Roman"/>
              <w:b/>
              <w:szCs w:val="16"/>
            </w:rPr>
            <w:t>EGY</w:t>
          </w:r>
          <w:proofErr w:type="spellEnd"/>
          <w:r w:rsidRPr="002F663C">
            <w:rPr>
              <w:rFonts w:eastAsia="Calibri" w:cs="Times New Roman"/>
              <w:b/>
              <w:szCs w:val="16"/>
            </w:rPr>
            <w:t>/3/Add.62</w:t>
          </w:r>
          <w:bookmarkEnd w:id="29"/>
        </w:p>
        <w:p w14:paraId="5F5F1A86" w14:textId="77777777" w:rsidR="00C14444" w:rsidRPr="00C14444" w:rsidRDefault="00C14444" w:rsidP="00C14444">
          <w:pPr>
            <w:jc w:val="center"/>
            <w:rPr>
              <w:szCs w:val="16"/>
            </w:rPr>
          </w:pPr>
        </w:p>
      </w:tc>
    </w:tr>
    <w:tr w:rsidR="00DC65A2" w14:paraId="3E868CB9" w14:textId="77777777" w:rsidTr="00544326">
      <w:trPr>
        <w:trHeight w:val="240"/>
        <w:jc w:val="center"/>
      </w:trPr>
      <w:tc>
        <w:tcPr>
          <w:tcW w:w="3794" w:type="dxa"/>
          <w:vMerge/>
          <w:shd w:val="clear" w:color="auto" w:fill="FFFFFF"/>
          <w:tcMar>
            <w:left w:w="108" w:type="dxa"/>
            <w:right w:w="108" w:type="dxa"/>
          </w:tcMar>
          <w:vAlign w:val="center"/>
        </w:tcPr>
        <w:p w14:paraId="596AC76A" w14:textId="77777777" w:rsidR="00ED54E0" w:rsidRPr="00182B84" w:rsidRDefault="00ED54E0" w:rsidP="00425DC5"/>
      </w:tc>
      <w:tc>
        <w:tcPr>
          <w:tcW w:w="5448" w:type="dxa"/>
          <w:gridSpan w:val="2"/>
          <w:shd w:val="clear" w:color="auto" w:fill="FFFFFF"/>
          <w:tcMar>
            <w:left w:w="108" w:type="dxa"/>
            <w:right w:w="108" w:type="dxa"/>
          </w:tcMar>
          <w:vAlign w:val="center"/>
        </w:tcPr>
        <w:p w14:paraId="70711D86" w14:textId="2BAFDB82" w:rsidR="00ED54E0" w:rsidRPr="00182B84" w:rsidRDefault="0092239F" w:rsidP="00425DC5">
          <w:pPr>
            <w:jc w:val="right"/>
            <w:rPr>
              <w:szCs w:val="16"/>
            </w:rPr>
          </w:pPr>
          <w:bookmarkStart w:id="30" w:name="bmkDate"/>
          <w:bookmarkEnd w:id="30"/>
          <w:r>
            <w:rPr>
              <w:szCs w:val="16"/>
            </w:rPr>
            <w:t>13 October 2023</w:t>
          </w:r>
        </w:p>
      </w:tc>
    </w:tr>
    <w:tr w:rsidR="00DC65A2" w14:paraId="5CB5F65C"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D1768A" w14:textId="7B4ADCD7" w:rsidR="00ED54E0" w:rsidRPr="00182B84" w:rsidRDefault="0092239F"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541A0E">
            <w:rPr>
              <w:rFonts w:eastAsia="Calibri" w:cs="Times New Roman"/>
              <w:color w:val="FF0000"/>
              <w:szCs w:val="16"/>
            </w:rPr>
            <w:t>6898</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60BD6419" w14:textId="77777777" w:rsidR="00ED54E0" w:rsidRPr="00182B84" w:rsidRDefault="0092239F"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DC65A2" w14:paraId="3CE6B5C2"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B91B1C" w14:textId="77777777" w:rsidR="00ED54E0" w:rsidRPr="00182B84" w:rsidRDefault="0092239F"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1751EC66" w14:textId="77777777" w:rsidR="00ED54E0" w:rsidRPr="00182B84" w:rsidRDefault="0092239F"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79D7AFDC"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3FC7616">
      <w:start w:val="1"/>
      <w:numFmt w:val="decimal"/>
      <w:pStyle w:val="SummaryText"/>
      <w:lvlText w:val="%1."/>
      <w:lvlJc w:val="left"/>
      <w:pPr>
        <w:ind w:left="360" w:hanging="360"/>
      </w:pPr>
    </w:lvl>
    <w:lvl w:ilvl="1" w:tplc="C0806E32" w:tentative="1">
      <w:start w:val="1"/>
      <w:numFmt w:val="lowerLetter"/>
      <w:lvlText w:val="%2."/>
      <w:lvlJc w:val="left"/>
      <w:pPr>
        <w:ind w:left="1080" w:hanging="360"/>
      </w:pPr>
    </w:lvl>
    <w:lvl w:ilvl="2" w:tplc="E7A4098C" w:tentative="1">
      <w:start w:val="1"/>
      <w:numFmt w:val="lowerRoman"/>
      <w:lvlText w:val="%3."/>
      <w:lvlJc w:val="right"/>
      <w:pPr>
        <w:ind w:left="1800" w:hanging="180"/>
      </w:pPr>
    </w:lvl>
    <w:lvl w:ilvl="3" w:tplc="A88CAB1C" w:tentative="1">
      <w:start w:val="1"/>
      <w:numFmt w:val="decimal"/>
      <w:lvlText w:val="%4."/>
      <w:lvlJc w:val="left"/>
      <w:pPr>
        <w:ind w:left="2520" w:hanging="360"/>
      </w:pPr>
    </w:lvl>
    <w:lvl w:ilvl="4" w:tplc="E5441300" w:tentative="1">
      <w:start w:val="1"/>
      <w:numFmt w:val="lowerLetter"/>
      <w:lvlText w:val="%5."/>
      <w:lvlJc w:val="left"/>
      <w:pPr>
        <w:ind w:left="3240" w:hanging="360"/>
      </w:pPr>
    </w:lvl>
    <w:lvl w:ilvl="5" w:tplc="27FC4CC2" w:tentative="1">
      <w:start w:val="1"/>
      <w:numFmt w:val="lowerRoman"/>
      <w:lvlText w:val="%6."/>
      <w:lvlJc w:val="right"/>
      <w:pPr>
        <w:ind w:left="3960" w:hanging="180"/>
      </w:pPr>
    </w:lvl>
    <w:lvl w:ilvl="6" w:tplc="298C5D06" w:tentative="1">
      <w:start w:val="1"/>
      <w:numFmt w:val="decimal"/>
      <w:lvlText w:val="%7."/>
      <w:lvlJc w:val="left"/>
      <w:pPr>
        <w:ind w:left="4680" w:hanging="360"/>
      </w:pPr>
    </w:lvl>
    <w:lvl w:ilvl="7" w:tplc="3F9E040C" w:tentative="1">
      <w:start w:val="1"/>
      <w:numFmt w:val="lowerLetter"/>
      <w:lvlText w:val="%8."/>
      <w:lvlJc w:val="left"/>
      <w:pPr>
        <w:ind w:left="5400" w:hanging="360"/>
      </w:pPr>
    </w:lvl>
    <w:lvl w:ilvl="8" w:tplc="A03A4CC4" w:tentative="1">
      <w:start w:val="1"/>
      <w:numFmt w:val="lowerRoman"/>
      <w:lvlText w:val="%9."/>
      <w:lvlJc w:val="right"/>
      <w:pPr>
        <w:ind w:left="6120" w:hanging="180"/>
      </w:pPr>
    </w:lvl>
  </w:abstractNum>
  <w:num w:numId="1" w16cid:durableId="421879273">
    <w:abstractNumId w:val="9"/>
  </w:num>
  <w:num w:numId="2" w16cid:durableId="1949123840">
    <w:abstractNumId w:val="7"/>
  </w:num>
  <w:num w:numId="3" w16cid:durableId="1155608139">
    <w:abstractNumId w:val="6"/>
  </w:num>
  <w:num w:numId="4" w16cid:durableId="922228432">
    <w:abstractNumId w:val="5"/>
  </w:num>
  <w:num w:numId="5" w16cid:durableId="1043023161">
    <w:abstractNumId w:val="4"/>
  </w:num>
  <w:num w:numId="6" w16cid:durableId="1927225176">
    <w:abstractNumId w:val="12"/>
  </w:num>
  <w:num w:numId="7" w16cid:durableId="1424181983">
    <w:abstractNumId w:val="11"/>
  </w:num>
  <w:num w:numId="8" w16cid:durableId="112597847">
    <w:abstractNumId w:val="10"/>
  </w:num>
  <w:num w:numId="9" w16cid:durableId="532229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443792">
    <w:abstractNumId w:val="13"/>
  </w:num>
  <w:num w:numId="11" w16cid:durableId="1023092913">
    <w:abstractNumId w:val="8"/>
  </w:num>
  <w:num w:numId="12" w16cid:durableId="1211460809">
    <w:abstractNumId w:val="3"/>
  </w:num>
  <w:num w:numId="13" w16cid:durableId="585501912">
    <w:abstractNumId w:val="2"/>
  </w:num>
  <w:num w:numId="14" w16cid:durableId="252787541">
    <w:abstractNumId w:val="1"/>
  </w:num>
  <w:num w:numId="15" w16cid:durableId="550461213">
    <w:abstractNumId w:val="0"/>
  </w:num>
  <w:num w:numId="16" w16cid:durableId="625308904">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7755E"/>
    <w:rsid w:val="00182B84"/>
    <w:rsid w:val="001C2A9D"/>
    <w:rsid w:val="001E291F"/>
    <w:rsid w:val="001E2E4A"/>
    <w:rsid w:val="002162B2"/>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F203A"/>
    <w:rsid w:val="005336B8"/>
    <w:rsid w:val="00541A0E"/>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2239F"/>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C65A2"/>
    <w:rsid w:val="00DD2CC3"/>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4C35"/>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os.tbt@eos.org.eg" TargetMode="Externa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piani\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3fac7ded-a53e-401f-9bc4-91baceae2d7c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CC36-9B78-44DC-9B6D-7ED0659AAC95}">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508</Words>
  <Characters>2850</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2023-10-13T09:34:00Z</dcterms:created>
  <dcterms:modified xsi:type="dcterms:W3CDTF">2023-10-13T12:12:00Z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3fac7ded-a53e-401f-9bc4-91baceae2d7c</vt:lpwstr>
  </property>
  <property fmtid="{D5CDD505-2E9C-101B-9397-08002B2CF9AE}" pid="4" name="WTOCLASSIFICATION">
    <vt:lpwstr>WTO OFFICIAL</vt:lpwstr>
  </property>
</Properties>
</file>