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A71E0" w:rsidRPr="00AB3F6C" w:rsidP="004A77FC" w14:paraId="6FCC8435" w14:textId="77777777">
      <w:pPr>
        <w:pStyle w:val="Title"/>
      </w:pPr>
      <w:r>
        <w:t>IMPLEMENTATION AND ADMINISTRATION OF THE AGREEMENT</w:t>
      </w:r>
      <w:r>
        <w:br/>
        <w:t>ON TECHNICAL BARRIERS TO TRADE</w:t>
      </w:r>
    </w:p>
    <w:p w:rsidR="00CD481B" w:rsidRPr="00AB3F6C" w:rsidP="004A77FC" w14:paraId="13F8D1D4" w14:textId="3728FD97">
      <w:pPr>
        <w:pStyle w:val="Title2"/>
      </w:pPr>
      <w:r>
        <w:t>COMMUNICATION FROM CABO VERDE</w:t>
      </w:r>
    </w:p>
    <w:p w:rsidR="002A71E0" w:rsidP="0083088B" w14:paraId="4B966D22" w14:textId="4ABFAEBE">
      <w:r>
        <w:t xml:space="preserve">The following communication under Article 15.2 of the Agreement on Technical Barriers to Trade, dated 29 July 2025, has been received from the delegation of </w:t>
      </w:r>
      <w:r>
        <w:rPr>
          <w:u w:val="single"/>
        </w:rPr>
        <w:t>Cabo Verde</w:t>
      </w:r>
      <w:r>
        <w:t>.</w:t>
      </w:r>
    </w:p>
    <w:p w:rsidR="0083088B" w:rsidRPr="00AB3F6C" w:rsidP="0083088B" w14:paraId="6B447DDA" w14:textId="77777777"/>
    <w:p w:rsidR="00CD481B" w:rsidRPr="00AB3F6C" w:rsidP="00CD481B" w14:paraId="64E59741" w14:textId="77777777">
      <w:pPr>
        <w:jc w:val="center"/>
        <w:rPr>
          <w:b/>
        </w:rPr>
      </w:pPr>
      <w:r>
        <w:rPr>
          <w:b/>
        </w:rPr>
        <w:t>_______________</w:t>
      </w:r>
    </w:p>
    <w:p w:rsidR="00CD481B" w:rsidRPr="00AB3F6C" w:rsidP="00CD481B" w14:paraId="56E873A6" w14:textId="77777777">
      <w:pPr>
        <w:rPr>
          <w:lang w:val="fr-FR"/>
        </w:rPr>
      </w:pPr>
    </w:p>
    <w:p w:rsidR="00906997" w:rsidRPr="00AB3F6C" w:rsidP="00906997" w14:paraId="2EA99BBF" w14:textId="77777777">
      <w:pPr>
        <w:rPr>
          <w:szCs w:val="20"/>
          <w:lang w:val="fr-FR"/>
        </w:rPr>
      </w:pPr>
    </w:p>
    <w:p w:rsidR="00795A4B" w:rsidRPr="00AB3F6C" w:rsidP="00D92221" w14:paraId="3BC8AC34" w14:textId="061535C5">
      <w:pPr>
        <w:pStyle w:val="Heading1"/>
      </w:pPr>
      <w:r>
        <w:t>Implementing actions</w:t>
      </w:r>
    </w:p>
    <w:p w:rsidR="007972BA" w:rsidRPr="00AB3F6C" w:rsidP="000A227B" w14:paraId="1C831B1D" w14:textId="77777777">
      <w:pPr>
        <w:pStyle w:val="BodyText"/>
      </w:pPr>
      <w:r>
        <w:t>As part of its notification under Article 15.2 of the Agreement on Technical Barriers to Trade (TBT), Cabo Verde wishes to inform the TBT Committee of the system of technical regulations, standardization and conformity assessment (testing, inspection, validation, verification, certification, accreditation and others) in force in the country.</w:t>
      </w:r>
    </w:p>
    <w:p w:rsidR="007972BA" w:rsidRPr="00AB3F6C" w:rsidP="000A227B" w14:paraId="6CB3E14D" w14:textId="6A8BA6AE">
      <w:pPr>
        <w:pStyle w:val="BodyText"/>
      </w:pPr>
      <w:r>
        <w:t xml:space="preserve">According to the notification sent to the TBT Committee and available on the website </w:t>
      </w:r>
      <w:hyperlink r:id="rId7" w:history="1">
        <w:r w:rsidRPr="002F45B0" w:rsidR="008C4FB6">
          <w:rPr>
            <w:rStyle w:val="Hyperlink"/>
          </w:rPr>
          <w:t>https://epingalert.org/en/EnquiryPoint/tbt-nep</w:t>
        </w:r>
      </w:hyperlink>
      <w:r>
        <w:t>, the Ministry of Industry, Trade and Energy (MICE) coordinates the implementation of the TBT Agreement through the National Directorate of Industry, Trade and Energy (</w:t>
      </w:r>
      <w:r>
        <w:t>DNICE</w:t>
      </w:r>
      <w:r>
        <w:t>).</w:t>
      </w:r>
    </w:p>
    <w:p w:rsidR="007972BA" w:rsidRPr="000A227B" w:rsidP="00530E97" w14:paraId="4BD748E6" w14:textId="77777777">
      <w:pPr>
        <w:pStyle w:val="Heading2"/>
        <w:numPr>
          <w:ilvl w:val="1"/>
          <w:numId w:val="11"/>
        </w:numPr>
      </w:pPr>
      <w:r>
        <w:t>Technical regulations</w:t>
      </w:r>
    </w:p>
    <w:p w:rsidR="007972BA" w:rsidRPr="00AB3F6C" w:rsidP="000A227B" w14:paraId="1D147833" w14:textId="77777777">
      <w:pPr>
        <w:pStyle w:val="BodyText"/>
      </w:pPr>
      <w:r>
        <w:t>Technical regulations are enforced by several government departments, independent public bodies and local authorities, which must follow best practices and public consultation (Article 94 of the Code of Administrative Procedure, approved by Legislative Decree No. 1/2023 of 2 October), with a view to the subsequent validation and publication of the regulations in order for them to be legally binding on operators and economic agents.</w:t>
      </w:r>
    </w:p>
    <w:p w:rsidR="007972BA" w:rsidRPr="00AB3F6C" w:rsidP="000A227B" w14:paraId="3553EB6F" w14:textId="77777777">
      <w:pPr>
        <w:pStyle w:val="BodyText"/>
      </w:pPr>
      <w:r>
        <w:t>Government departments, in particular the Ministry of Industry, Trade and Energy, the Ministry of Agriculture and Environment, the Ministry of Health and the Ministry of Infrastructure, issue various technical regulations within their areas of competence. Several of these regulations may originate from regional bodies, signed agreements or the incorporation into the legal system of measures deemed important for the exercise of the State's regulatory function.</w:t>
      </w:r>
    </w:p>
    <w:p w:rsidR="007972BA" w:rsidRPr="00AB3F6C" w:rsidP="000A227B" w14:paraId="6F7BCFEC" w14:textId="77777777">
      <w:pPr>
        <w:pStyle w:val="BodyText"/>
      </w:pPr>
      <w:r>
        <w:t>Among the independent public entities with powers to issue technical regulations, it is worth mentioning the Independent Regulatory Entities (Legal Framework for Regulatory Agencies established by Law No. 14/VIII/2012 of 11 July), in particular the Multisectoral Regulatory Agency for the Economy (ARME), the Civil Aviation Agency (</w:t>
      </w:r>
      <w:r>
        <w:t>AAC</w:t>
      </w:r>
      <w:r>
        <w:t>) and the Independent Health Regulatory Body (ERIS). These regulatory agencies develop technical regulations not only to enforce concession contracts but also to prevent unfair competition in regulated sectors.</w:t>
      </w:r>
    </w:p>
    <w:p w:rsidR="007972BA" w:rsidRPr="00AB3F6C" w:rsidP="000A227B" w14:paraId="7BE47F53" w14:textId="77777777">
      <w:pPr>
        <w:pStyle w:val="BodyText"/>
      </w:pPr>
      <w:r>
        <w:t>In the field of legal metrology, pursuant to the National Legal Metrological Control System established by Decree-Law No. 43/2015 of 27 August, Cabo Verde, through the Institute of Quality Management and Intellectual Property (</w:t>
      </w:r>
      <w:r>
        <w:t>IGQPI</w:t>
      </w:r>
      <w:r>
        <w:t>), develops specific technical regulations to support the metrological control of every measuring instrument considered a priority. To date, 13 regulations have been published in the Official Journal, with remaining regulatory requirements being met by presumption, in accordance with the recommendations of the International Organization of Legal Metrology (</w:t>
      </w:r>
      <w:r>
        <w:t>OIML</w:t>
      </w:r>
      <w:r>
        <w:t>).</w:t>
      </w:r>
    </w:p>
    <w:p w:rsidR="007972BA" w:rsidRPr="00AB3F6C" w:rsidP="000A227B" w14:paraId="07F59741" w14:textId="77777777">
      <w:pPr>
        <w:pStyle w:val="BodyText"/>
      </w:pPr>
      <w:r>
        <w:t>As a major importer of technology, Cabo Verde is required to have a system for monitoring the conformity of imported equipment and the corresponding certificates covered by legal metrology, in line with the model recognition agreement approved in the country of manufacture.</w:t>
      </w:r>
    </w:p>
    <w:p w:rsidR="007972BA" w:rsidRPr="00AB3F6C" w:rsidP="000A227B" w14:paraId="73B85514" w14:textId="77777777">
      <w:pPr>
        <w:pStyle w:val="Heading2"/>
      </w:pPr>
      <w:r>
        <w:t>Standardization</w:t>
      </w:r>
    </w:p>
    <w:p w:rsidR="007972BA" w:rsidRPr="00AB3F6C" w:rsidP="000A227B" w14:paraId="01A4D083" w14:textId="4EE7AE95">
      <w:pPr>
        <w:pStyle w:val="BodyText"/>
      </w:pPr>
      <w:r>
        <w:t>Decree-Law No. 8/2010 of 22 March established the foundations of the National Quality System of Cabo Verde (</w:t>
      </w:r>
      <w:r>
        <w:t>SNQC</w:t>
      </w:r>
      <w:r>
        <w:t xml:space="preserve">). The </w:t>
      </w:r>
      <w:r>
        <w:t>IGQPI</w:t>
      </w:r>
      <w:r>
        <w:t xml:space="preserve"> serves as the national standardization body and coordinator of the standardization subsystem. Standardization activities are carried out in accordance with the Standardization Regulations of Cabo Verde (</w:t>
      </w:r>
      <w:r>
        <w:t>R.NOR</w:t>
      </w:r>
      <w:r>
        <w:t>) (</w:t>
      </w:r>
      <w:hyperlink r:id="rId8" w:history="1">
        <w:r>
          <w:rPr>
            <w:color w:val="0000FF"/>
            <w:u w:val="single"/>
          </w:rPr>
          <w:t>https://igqpi.cv/normalizacao/regras-e-procedimentos-2/</w:t>
        </w:r>
      </w:hyperlink>
      <w:r>
        <w:t>), which set out the procedures, guidelines, rights and obligations to be observed by all stakeholders in standardization activities in Cabo Verde.</w:t>
      </w:r>
    </w:p>
    <w:p w:rsidR="007972BA" w:rsidRPr="00AB3F6C" w:rsidP="000A227B" w14:paraId="2ADFE8F7" w14:textId="314117A4">
      <w:pPr>
        <w:pStyle w:val="BodyText"/>
      </w:pPr>
      <w:r>
        <w:t>In Cabo Verde, stakeholders are involved in standardization activities through:</w:t>
      </w:r>
    </w:p>
    <w:p w:rsidR="007972BA" w:rsidRPr="00AB3F6C" w:rsidP="000A227B" w14:paraId="6AF9081F" w14:textId="2934BF34">
      <w:pPr>
        <w:pStyle w:val="ListBullet"/>
      </w:pPr>
      <w:r>
        <w:t>The creation of the Technical Standardization Committee (</w:t>
      </w:r>
      <w:r>
        <w:t>CTN</w:t>
      </w:r>
      <w:r>
        <w:t>);</w:t>
      </w:r>
    </w:p>
    <w:p w:rsidR="007972BA" w:rsidRPr="00AB3F6C" w:rsidP="000A227B" w14:paraId="6EB98209" w14:textId="77777777">
      <w:pPr>
        <w:pStyle w:val="ListBullet"/>
      </w:pPr>
      <w:r>
        <w:t>Public consultation on normative documents, which allows all members of Cabo Verdean society to express any views different from those taken into account during the drafting of the document in question.</w:t>
      </w:r>
    </w:p>
    <w:p w:rsidR="007972BA" w:rsidRPr="00AB3F6C" w:rsidP="000A227B" w14:paraId="5DBE83BC" w14:textId="77777777">
      <w:pPr>
        <w:pStyle w:val="BodyText"/>
      </w:pPr>
      <w:r>
        <w:t xml:space="preserve">At the international level, Cabo Verde, through the </w:t>
      </w:r>
      <w:r>
        <w:t>IGQPI</w:t>
      </w:r>
      <w:r>
        <w:t xml:space="preserve">, has been participating since 2017 in the Affiliate Country Programme of the International Electrotechnical Commission (IEC). At the regional level, since 2014, it has been participating in </w:t>
      </w:r>
      <w:r>
        <w:t>ECOSHAM</w:t>
      </w:r>
      <w:r>
        <w:t>, the Standards Harmonization Model of the Economic Community of West African States (ECOWAS).</w:t>
      </w:r>
    </w:p>
    <w:p w:rsidR="007972BA" w:rsidRPr="00AB3F6C" w:rsidP="000A227B" w14:paraId="70D0B5DC" w14:textId="29217A73">
      <w:pPr>
        <w:pStyle w:val="BodyText"/>
      </w:pPr>
      <w:r>
        <w:t>To date, 25 Cabo Verdean standards have been established, and 78 IEC standards and one European standard in Portuguese have been adopted (</w:t>
      </w:r>
      <w:hyperlink r:id="rId9" w:history="1">
        <w:r>
          <w:rPr>
            <w:color w:val="0000FF"/>
            <w:u w:val="single"/>
          </w:rPr>
          <w:t>https://igqpi.cv/normalizacao/acervo-normativo/</w:t>
        </w:r>
      </w:hyperlink>
      <w:r>
        <w:t>).</w:t>
      </w:r>
    </w:p>
    <w:p w:rsidR="007972BA" w:rsidRPr="00AB3F6C" w:rsidP="000A227B" w14:paraId="11DDAEB6" w14:textId="77777777">
      <w:pPr>
        <w:pStyle w:val="Heading2"/>
      </w:pPr>
      <w:r>
        <w:t>Conformity assessment</w:t>
      </w:r>
    </w:p>
    <w:p w:rsidR="007972BA" w:rsidRPr="00AB3F6C" w:rsidP="000A227B" w14:paraId="00844447" w14:textId="77777777">
      <w:pPr>
        <w:pStyle w:val="BodyText"/>
      </w:pPr>
      <w:r>
        <w:t xml:space="preserve">Decree-Law No. 37/2024 of 29 July 2024 establishes the institutional requirements for the </w:t>
      </w:r>
      <w:r>
        <w:t>IGQPI</w:t>
      </w:r>
      <w:r>
        <w:t xml:space="preserve"> to be accredited as a certification body, thus ensuring the credibility of its certification and, by extension, international acceptance of the certificates it issues.</w:t>
      </w:r>
    </w:p>
    <w:p w:rsidR="007972BA" w:rsidRPr="00AB3F6C" w:rsidP="000A227B" w14:paraId="6D3C0832" w14:textId="77777777">
      <w:pPr>
        <w:pStyle w:val="BodyText"/>
      </w:pPr>
      <w:r>
        <w:t xml:space="preserve">The </w:t>
      </w:r>
      <w:r>
        <w:t>IGQPI</w:t>
      </w:r>
      <w:r>
        <w:t xml:space="preserve"> has legal personality and is the certification body for products, processes, services, systems and people, offering adequate guarantees of objectivity and impartiality in its actions with the support of the Impartiality Committee (CI) and the Specialized Technical Committees (CTE), in accordance with international accreditation standards.</w:t>
      </w:r>
    </w:p>
    <w:p w:rsidR="007972BA" w:rsidRPr="00AB3F6C" w:rsidP="000A227B" w14:paraId="33134D0B" w14:textId="6797F273">
      <w:pPr>
        <w:pStyle w:val="BodyText"/>
      </w:pPr>
      <w:r>
        <w:t xml:space="preserve">To date, the </w:t>
      </w:r>
      <w:r>
        <w:t>IGQPI</w:t>
      </w:r>
      <w:r>
        <w:t xml:space="preserve"> has created and managed certification programmes for:</w:t>
      </w:r>
    </w:p>
    <w:p w:rsidR="007972BA" w:rsidRPr="00AB3F6C" w:rsidP="000A227B" w14:paraId="067F6D26" w14:textId="4B3D0755">
      <w:pPr>
        <w:pStyle w:val="ListBullet"/>
      </w:pPr>
      <w:r>
        <w:t>Mango juice;</w:t>
      </w:r>
    </w:p>
    <w:p w:rsidR="007972BA" w:rsidRPr="00AB3F6C" w:rsidP="000A227B" w14:paraId="618B0F96" w14:textId="7F4F34BF">
      <w:pPr>
        <w:pStyle w:val="ListBullet"/>
      </w:pPr>
      <w:r>
        <w:t>Small tourist accommodation with between 4 and 35 rooms (</w:t>
      </w:r>
      <w:hyperlink r:id="rId10" w:history="1">
        <w:r>
          <w:rPr>
            <w:color w:val="0000FF"/>
            <w:u w:val="single"/>
          </w:rPr>
          <w:t>https://igqpi.cv/avaliacao-de-conformidade/certificacao/</w:t>
        </w:r>
      </w:hyperlink>
      <w:r>
        <w:t>);</w:t>
      </w:r>
    </w:p>
    <w:p w:rsidR="007972BA" w:rsidRPr="00AB3F6C" w:rsidP="000A227B" w14:paraId="2EE1E3F5" w14:textId="77777777">
      <w:pPr>
        <w:pStyle w:val="ListBullet"/>
      </w:pPr>
      <w:r>
        <w:t>Good manufacturing practices (</w:t>
      </w:r>
      <w:r>
        <w:t>GMP</w:t>
      </w:r>
      <w:r>
        <w:t>) and the Hazard Analysis Critical Control Point (HACCP) system for food business operators (</w:t>
      </w:r>
      <w:r>
        <w:t>FBOs</w:t>
      </w:r>
      <w:r>
        <w:t>) involved in the preparation, processing, packaging, storage, transport and distribution of foodstuffs.</w:t>
      </w:r>
    </w:p>
    <w:p w:rsidR="007972BA" w:rsidRPr="00AB3F6C" w:rsidP="000A227B" w14:paraId="2AF2E826" w14:textId="77777777">
      <w:pPr>
        <w:pStyle w:val="BodyText"/>
      </w:pPr>
      <w:r>
        <w:t>In terms of inspection, the General Inspectorate of Economic Activities (</w:t>
      </w:r>
      <w:r>
        <w:t>IGAE</w:t>
      </w:r>
      <w:r>
        <w:t>) is the economic authority responsible for monitoring products on sale and establishments. Its mission is to ensure compliance with the rules governing the authorization of products, companies, manufacturing processes and representation contracts for companies and brands.</w:t>
      </w:r>
    </w:p>
    <w:p w:rsidR="007972BA" w:rsidRPr="00AB3F6C" w:rsidP="000A227B" w14:paraId="43C0D1D8" w14:textId="77777777">
      <w:pPr>
        <w:pStyle w:val="BodyText"/>
      </w:pPr>
      <w:r>
        <w:t>In terms of testing, the Civil Engineering Laboratory (</w:t>
      </w:r>
      <w:r>
        <w:t>LEC</w:t>
      </w:r>
      <w:r>
        <w:t xml:space="preserve">) is particularly important, as it is tasked with testing cement and other construction materials. The </w:t>
      </w:r>
      <w:r>
        <w:t>LEC</w:t>
      </w:r>
      <w:r>
        <w:t xml:space="preserve"> intervenes before and after products are placed on the market, at the request of other authorities and in accordance with the law, as a preventive measure.</w:t>
      </w:r>
    </w:p>
    <w:p w:rsidR="007972BA" w:rsidRPr="00AB3F6C" w:rsidP="000A227B" w14:paraId="573F35B7" w14:textId="77777777">
      <w:pPr>
        <w:pStyle w:val="BodyText"/>
      </w:pPr>
      <w:r>
        <w:t xml:space="preserve">In addition to the </w:t>
      </w:r>
      <w:r>
        <w:t>LEC</w:t>
      </w:r>
      <w:r>
        <w:t>, other laboratories in the food and health sectors are worth mentioning, including:</w:t>
      </w:r>
    </w:p>
    <w:p w:rsidR="007972BA" w:rsidRPr="00AB3F6C" w:rsidP="000A227B" w14:paraId="2EFC9D0D" w14:textId="60FFEE92">
      <w:pPr>
        <w:pStyle w:val="BodyText2"/>
      </w:pPr>
      <w:r>
        <w:t>Inpharma</w:t>
      </w:r>
      <w:r>
        <w:t xml:space="preserve"> Laboratories (</w:t>
      </w:r>
      <w:r>
        <w:t>INLAB</w:t>
      </w:r>
      <w:r>
        <w:t>), the only laboratory accredited in Cabo Verde to test 44 parameters relating to water, food and medicines;</w:t>
      </w:r>
    </w:p>
    <w:p w:rsidR="007972BA" w:rsidRPr="00AB3F6C" w:rsidP="000A227B" w14:paraId="2C21C0F5" w14:textId="557037B2">
      <w:pPr>
        <w:pStyle w:val="BodyText2"/>
      </w:pPr>
      <w:r>
        <w:t>the Water and Food Quality Control Laboratory (</w:t>
      </w:r>
      <w:r>
        <w:t>LCQAA</w:t>
      </w:r>
      <w:r>
        <w:t>) of the National Institute of Public Health (INSP);</w:t>
      </w:r>
    </w:p>
    <w:p w:rsidR="007972BA" w:rsidRPr="00AB3F6C" w:rsidP="000A227B" w14:paraId="25F44A8D" w14:textId="4D158DA4">
      <w:pPr>
        <w:pStyle w:val="BodyText2"/>
      </w:pPr>
      <w:r>
        <w:t>the Official Laboratory for Fisheries Products (LOPP); and</w:t>
      </w:r>
    </w:p>
    <w:p w:rsidR="007972BA" w:rsidRPr="00AB3F6C" w:rsidP="000A227B" w14:paraId="27DCCB01" w14:textId="77777777">
      <w:pPr>
        <w:pStyle w:val="BodyText2"/>
      </w:pPr>
      <w:r>
        <w:t>the Afonso Martinho Laboratory (LAM) for agricultural products.</w:t>
      </w:r>
    </w:p>
    <w:p w:rsidR="007972BA" w:rsidRPr="00AB3F6C" w:rsidP="000A227B" w14:paraId="5C64BFA7" w14:textId="3A496310">
      <w:pPr>
        <w:pStyle w:val="BodyText"/>
      </w:pPr>
      <w:r>
        <w:t>Verification, which mainly involves inspection (pr</w:t>
      </w:r>
      <w:r w:rsidR="008C4FB6">
        <w:t>ior</w:t>
      </w:r>
      <w:r>
        <w:t xml:space="preserve"> verification of establishments and products), consists of activities carried out before businesses start operating or products are placed on the market. It involves preventive verification of the conditions under which products are manufactured or registered and their compliance with the standards relating to that production, process or end product.</w:t>
      </w:r>
    </w:p>
    <w:p w:rsidR="007972BA" w:rsidRPr="00AB3F6C" w:rsidP="000A227B" w14:paraId="20193ECA" w14:textId="77777777">
      <w:pPr>
        <w:pStyle w:val="BodyText"/>
      </w:pPr>
      <w:r>
        <w:t>Also with regard to prior inspections, there is the Technical Vehicle Inspectorate of Cabo Verde (</w:t>
      </w:r>
      <w:r>
        <w:t>ITAC</w:t>
      </w:r>
      <w:r>
        <w:t>), which is responsible for checking that motor vehicles in circulation in the country comply with existing standards. Import standards are developed in collaboration with the Directorate-General of Road Transport, the authority in charge of registering vehicles in the national vehicle fleet.</w:t>
      </w:r>
    </w:p>
    <w:p w:rsidR="007972BA" w:rsidRPr="00AB3F6C" w:rsidP="000A227B" w14:paraId="038A8C0D" w14:textId="77777777">
      <w:pPr>
        <w:pStyle w:val="BodyText"/>
      </w:pPr>
      <w:r>
        <w:t>In summary, national authorities, within the scope of their powers or at the request of consumer associations, operators and interested parties, may call upon national or international laboratories, whether public or private, to verify the conformity of products and services, in accordance with the rules in force in the country and the agreements to which the country has acceded, both for implementation purposes and for recognition and trade facilitation.</w:t>
      </w:r>
    </w:p>
    <w:p w:rsidR="007E447B" w:rsidRPr="00AB3F6C" w:rsidP="00D92221" w14:paraId="752B78D4" w14:textId="77777777">
      <w:pPr>
        <w:pStyle w:val="Heading1"/>
      </w:pPr>
      <w:r>
        <w:t>Publication of a notice</w:t>
      </w:r>
    </w:p>
    <w:p w:rsidR="00F113FB" w:rsidRPr="00AB3F6C" w:rsidP="000A227B" w14:paraId="1FC7605E" w14:textId="77777777">
      <w:pPr>
        <w:pStyle w:val="BodyText"/>
      </w:pPr>
      <w:r>
        <w:t>In accordance with Article 94 of Legislative Decree No. 1/2023 of 2 October, national authorities must submit draft legislation for consultation and participation by interested parties and their representatives.</w:t>
      </w:r>
    </w:p>
    <w:p w:rsidR="00F113FB" w:rsidRPr="00AB3F6C" w:rsidP="000A227B" w14:paraId="3EC8B9A9" w14:textId="77777777">
      <w:pPr>
        <w:pStyle w:val="BodyText"/>
      </w:pPr>
      <w:r>
        <w:t>Draft legislation is made available to the public:</w:t>
      </w:r>
    </w:p>
    <w:p w:rsidR="00F113FB" w:rsidRPr="00AB3F6C" w:rsidP="00A66777" w14:paraId="3587551F" w14:textId="77777777">
      <w:pPr>
        <w:pStyle w:val="BodyText2"/>
        <w:tabs>
          <w:tab w:val="clear" w:pos="907"/>
        </w:tabs>
        <w:ind w:left="1134" w:hanging="567"/>
      </w:pPr>
      <w:r>
        <w:t>On the websites of the relevant public bodies and/or</w:t>
      </w:r>
    </w:p>
    <w:p w:rsidR="00F113FB" w:rsidP="00A66777" w14:paraId="23D9601A" w14:textId="46134F28">
      <w:pPr>
        <w:pStyle w:val="BodyText2"/>
        <w:tabs>
          <w:tab w:val="clear" w:pos="907"/>
        </w:tabs>
        <w:ind w:left="1134" w:hanging="567"/>
      </w:pPr>
      <w:r>
        <w:t xml:space="preserve">On the official government website: </w:t>
      </w:r>
      <w:hyperlink r:id="rId11" w:history="1">
        <w:r>
          <w:rPr>
            <w:rStyle w:val="Hyperlink"/>
          </w:rPr>
          <w:t>https://www.governo.cv/</w:t>
        </w:r>
      </w:hyperlink>
    </w:p>
    <w:p w:rsidR="000A227B" w:rsidRPr="00686480" w:rsidP="000A227B" w14:paraId="6548971D" w14:textId="77777777">
      <w:pPr>
        <w:pStyle w:val="Heading1"/>
        <w:rPr>
          <w:w w:val="105"/>
        </w:rPr>
      </w:pPr>
      <w:r>
        <w:t>Comments</w:t>
      </w:r>
    </w:p>
    <w:p w:rsidR="00686480" w:rsidRPr="00AB3F6C" w:rsidP="000A227B" w14:paraId="2CDA334A" w14:textId="77777777">
      <w:pPr>
        <w:pStyle w:val="BodyText"/>
      </w:pPr>
      <w:r>
        <w:t>The Legislative Decree requires that draft legislation be made available for public consultation for at least 30 days.</w:t>
      </w:r>
    </w:p>
    <w:p w:rsidR="003D0750" w:rsidRPr="00AB3F6C" w:rsidP="00D92221" w14:paraId="49EE6C1C" w14:textId="77777777">
      <w:pPr>
        <w:pStyle w:val="Heading1"/>
      </w:pPr>
      <w:r>
        <w:t>Publication of final texts</w:t>
      </w:r>
    </w:p>
    <w:p w:rsidR="003D0750" w:rsidRPr="00AB3F6C" w:rsidP="000A227B" w14:paraId="5AB639EC" w14:textId="77777777">
      <w:pPr>
        <w:pStyle w:val="Heading2"/>
        <w:spacing w:after="120"/>
      </w:pPr>
      <w:r>
        <w:t>Standardization</w:t>
      </w:r>
    </w:p>
    <w:p w:rsidR="003D0750" w:rsidRPr="00AB3F6C" w:rsidP="003D0750" w14:paraId="1BD90514" w14:textId="77777777">
      <w:pPr>
        <w:spacing w:before="120" w:after="120"/>
      </w:pPr>
      <w:hyperlink r:id="rId9" w:history="1">
        <w:r>
          <w:rPr>
            <w:color w:val="0000FF"/>
            <w:u w:val="single"/>
          </w:rPr>
          <w:t>https://igqpi.cv/normalizacao/acervo-normativo/</w:t>
        </w:r>
      </w:hyperlink>
    </w:p>
    <w:p w:rsidR="003D0750" w:rsidRPr="00AB3F6C" w:rsidP="000A227B" w14:paraId="6FA48AC8" w14:textId="77777777">
      <w:pPr>
        <w:pStyle w:val="Heading2"/>
        <w:spacing w:after="120"/>
      </w:pPr>
      <w:r>
        <w:t>Conformity assessment</w:t>
      </w:r>
    </w:p>
    <w:p w:rsidR="003D0750" w:rsidRPr="00AB3F6C" w:rsidP="000A227B" w14:paraId="166D158B" w14:textId="77777777">
      <w:pPr>
        <w:spacing w:before="120" w:after="240"/>
      </w:pPr>
      <w:hyperlink r:id="rId10" w:history="1">
        <w:r>
          <w:rPr>
            <w:color w:val="0000FF"/>
            <w:u w:val="single"/>
          </w:rPr>
          <w:t>https://igqpi.cv/avaliacao-de-conformidade/certificacao/</w:t>
        </w:r>
      </w:hyperlink>
    </w:p>
    <w:p w:rsidR="003D0750" w:rsidRPr="00AB3F6C" w:rsidP="000A227B" w14:paraId="71E024C6" w14:textId="77777777">
      <w:pPr>
        <w:pStyle w:val="Heading2"/>
        <w:spacing w:after="120"/>
      </w:pPr>
      <w:r>
        <w:t>Technical regulations</w:t>
      </w:r>
    </w:p>
    <w:p w:rsidR="003D0750" w:rsidRPr="00AB3F6C" w:rsidP="003D0750" w14:paraId="3EEFB15F" w14:textId="77777777">
      <w:pPr>
        <w:spacing w:before="120" w:after="240"/>
      </w:pPr>
      <w:hyperlink r:id="rId12" w:history="1">
        <w:r>
          <w:rPr>
            <w:color w:val="0000FF"/>
            <w:u w:val="single"/>
          </w:rPr>
          <w:t>https://boe.incv.cv/</w:t>
        </w:r>
      </w:hyperlink>
    </w:p>
    <w:p w:rsidR="00195DA8" w:rsidRPr="00AB3F6C" w:rsidP="00D92221" w14:paraId="0C7463A7" w14:textId="1356F885">
      <w:pPr>
        <w:pStyle w:val="Heading1"/>
      </w:pPr>
      <w:bookmarkStart w:id="0" w:name="_Hlk152148747"/>
      <w:r>
        <w:t>Contact information</w:t>
      </w:r>
      <w:r>
        <w:rPr>
          <w:rStyle w:val="FootnoteReference"/>
        </w:rPr>
        <w:footnoteReference w:id="2"/>
      </w:r>
    </w:p>
    <w:bookmarkEnd w:id="0"/>
    <w:p w:rsidR="00530E97" w:rsidRPr="00530E97" w:rsidP="00F113FB" w14:paraId="681FC4D9" w14:textId="77777777">
      <w:pPr>
        <w:spacing w:before="120" w:after="120"/>
        <w:jc w:val="left"/>
        <w:rPr>
          <w:b/>
          <w:bCs/>
        </w:rPr>
      </w:pPr>
      <w:r>
        <w:rPr>
          <w:b/>
        </w:rPr>
        <w:t>(</w:t>
      </w:r>
      <w:r>
        <w:rPr>
          <w:b/>
        </w:rPr>
        <w:t>i</w:t>
      </w:r>
      <w:r>
        <w:rPr>
          <w:b/>
        </w:rPr>
        <w:t>) Enquiry Point(s)</w:t>
      </w:r>
    </w:p>
    <w:p w:rsidR="00F113FB" w:rsidRPr="00FC24C7" w:rsidP="00F113FB" w14:paraId="25CFA81A" w14:textId="77777777">
      <w:pPr>
        <w:spacing w:before="120" w:after="120"/>
        <w:jc w:val="left"/>
        <w:rPr>
          <w:lang w:val="fr-FR"/>
        </w:rPr>
      </w:pPr>
      <w:r w:rsidRPr="00FC24C7">
        <w:rPr>
          <w:i/>
          <w:iCs/>
          <w:lang w:val="fr-FR"/>
        </w:rPr>
        <w:t xml:space="preserve">Point d'information sur les </w:t>
      </w:r>
      <w:r w:rsidRPr="00FC24C7">
        <w:rPr>
          <w:i/>
          <w:iCs/>
          <w:lang w:val="fr-FR"/>
        </w:rPr>
        <w:t>OTC</w:t>
      </w:r>
      <w:r w:rsidRPr="00FC24C7">
        <w:rPr>
          <w:lang w:val="fr-FR"/>
        </w:rPr>
        <w:t xml:space="preserve"> (TBT </w:t>
      </w:r>
      <w:r w:rsidRPr="00FC24C7">
        <w:rPr>
          <w:lang w:val="fr-FR"/>
        </w:rPr>
        <w:t>Enquiry</w:t>
      </w:r>
      <w:r w:rsidRPr="00FC24C7">
        <w:rPr>
          <w:lang w:val="fr-FR"/>
        </w:rPr>
        <w:t xml:space="preserve"> Point)</w:t>
      </w:r>
    </w:p>
    <w:p w:rsidR="00C408D1" w:rsidRPr="00FC24C7" w:rsidP="003A0337" w14:paraId="2A70BD2C" w14:textId="77777777">
      <w:pPr>
        <w:spacing w:after="120"/>
        <w:jc w:val="left"/>
        <w:rPr>
          <w:lang w:val="fr-FR"/>
        </w:rPr>
      </w:pPr>
      <w:r w:rsidRPr="00FC24C7">
        <w:rPr>
          <w:i/>
          <w:iCs/>
          <w:lang w:val="fr-FR"/>
        </w:rPr>
        <w:t>Direção</w:t>
      </w:r>
      <w:r w:rsidRPr="00FC24C7">
        <w:rPr>
          <w:i/>
          <w:iCs/>
          <w:lang w:val="fr-FR"/>
        </w:rPr>
        <w:t xml:space="preserve"> </w:t>
      </w:r>
      <w:r w:rsidRPr="00FC24C7">
        <w:rPr>
          <w:i/>
          <w:iCs/>
          <w:lang w:val="fr-FR"/>
        </w:rPr>
        <w:t>Nacional</w:t>
      </w:r>
      <w:r w:rsidRPr="00FC24C7">
        <w:rPr>
          <w:i/>
          <w:iCs/>
          <w:lang w:val="fr-FR"/>
        </w:rPr>
        <w:t xml:space="preserve"> da </w:t>
      </w:r>
      <w:r w:rsidRPr="00FC24C7">
        <w:rPr>
          <w:i/>
          <w:iCs/>
          <w:lang w:val="fr-FR"/>
        </w:rPr>
        <w:t>Indústria</w:t>
      </w:r>
      <w:r w:rsidRPr="00FC24C7">
        <w:rPr>
          <w:i/>
          <w:iCs/>
          <w:lang w:val="fr-FR"/>
        </w:rPr>
        <w:t xml:space="preserve">, </w:t>
      </w:r>
      <w:r w:rsidRPr="00FC24C7">
        <w:rPr>
          <w:i/>
          <w:iCs/>
          <w:lang w:val="fr-FR"/>
        </w:rPr>
        <w:t>Comércio</w:t>
      </w:r>
      <w:r w:rsidRPr="00FC24C7">
        <w:rPr>
          <w:i/>
          <w:iCs/>
          <w:lang w:val="fr-FR"/>
        </w:rPr>
        <w:t xml:space="preserve"> e Energia</w:t>
      </w:r>
      <w:r w:rsidRPr="00FC24C7">
        <w:rPr>
          <w:lang w:val="fr-FR"/>
        </w:rPr>
        <w:t xml:space="preserve"> (National </w:t>
      </w:r>
      <w:r w:rsidRPr="00FC24C7">
        <w:rPr>
          <w:lang w:val="fr-FR"/>
        </w:rPr>
        <w:t>Directorate</w:t>
      </w:r>
      <w:r w:rsidRPr="00FC24C7">
        <w:rPr>
          <w:lang w:val="fr-FR"/>
        </w:rPr>
        <w:t xml:space="preserve"> of </w:t>
      </w:r>
      <w:r w:rsidRPr="00FC24C7">
        <w:rPr>
          <w:lang w:val="fr-FR"/>
        </w:rPr>
        <w:t>Industry</w:t>
      </w:r>
      <w:r w:rsidRPr="00FC24C7">
        <w:rPr>
          <w:lang w:val="fr-FR"/>
        </w:rPr>
        <w:t>, Trade and Energy)</w:t>
      </w:r>
    </w:p>
    <w:p w:rsidR="00C408D1" w:rsidRPr="00FC24C7" w:rsidP="003A0337" w14:paraId="4215FEA7" w14:textId="77777777">
      <w:pPr>
        <w:spacing w:before="120" w:after="120"/>
        <w:jc w:val="left"/>
        <w:rPr>
          <w:lang w:val="fr-FR"/>
        </w:rPr>
      </w:pPr>
      <w:r w:rsidRPr="00FC24C7">
        <w:rPr>
          <w:lang w:val="fr-FR"/>
        </w:rPr>
        <w:t>Telephone</w:t>
      </w:r>
      <w:r w:rsidRPr="00FC24C7">
        <w:rPr>
          <w:lang w:val="fr-FR"/>
        </w:rPr>
        <w:t>: (+238) 2604800</w:t>
      </w:r>
    </w:p>
    <w:p w:rsidR="00C408D1" w:rsidRPr="00FC24C7" w:rsidP="003A0337" w14:paraId="60D712F3" w14:textId="77777777">
      <w:pPr>
        <w:spacing w:before="120" w:after="240"/>
        <w:jc w:val="left"/>
        <w:rPr>
          <w:lang w:val="fr-FR"/>
        </w:rPr>
      </w:pPr>
      <w:r w:rsidRPr="00FC24C7">
        <w:rPr>
          <w:lang w:val="fr-FR"/>
        </w:rPr>
        <w:t xml:space="preserve">Email: </w:t>
      </w:r>
      <w:hyperlink r:id="rId13" w:history="1">
        <w:r w:rsidRPr="00FC24C7">
          <w:rPr>
            <w:color w:val="0000FF"/>
            <w:u w:val="single"/>
            <w:lang w:val="fr-FR"/>
          </w:rPr>
          <w:t>benvindo.reis@mice.gov.cv</w:t>
        </w:r>
      </w:hyperlink>
      <w:r w:rsidRPr="00FC24C7">
        <w:rPr>
          <w:lang w:val="fr-FR"/>
        </w:rPr>
        <w:t xml:space="preserve"> or </w:t>
      </w:r>
      <w:hyperlink r:id="rId14" w:history="1">
        <w:r w:rsidRPr="00FC24C7">
          <w:rPr>
            <w:color w:val="0000FF"/>
            <w:u w:val="single"/>
            <w:lang w:val="fr-FR"/>
          </w:rPr>
          <w:t>jonica.tavares@mice.gov.cv</w:t>
        </w:r>
      </w:hyperlink>
    </w:p>
    <w:p w:rsidR="00530E97" w:rsidRPr="00AB3F6C" w:rsidP="00530E97" w14:paraId="35FEDCA7" w14:textId="77777777">
      <w:pPr>
        <w:spacing w:after="120"/>
        <w:rPr>
          <w:b/>
          <w:bCs/>
        </w:rPr>
      </w:pPr>
      <w:r>
        <w:rPr>
          <w:b/>
        </w:rPr>
        <w:t>(ii) Notification Authority</w:t>
      </w:r>
    </w:p>
    <w:p w:rsidR="003A0337" w:rsidP="003A0337" w14:paraId="0D63CD7C" w14:textId="77777777">
      <w:pPr>
        <w:jc w:val="left"/>
      </w:pPr>
      <w:r>
        <w:t>Same as TBT Enquiry Point</w:t>
      </w:r>
    </w:p>
    <w:p w:rsidR="00530E97" w:rsidRPr="00FC24C7" w:rsidP="003A0337" w14:paraId="48CEC738" w14:textId="77777777">
      <w:pPr>
        <w:jc w:val="left"/>
      </w:pPr>
    </w:p>
    <w:p w:rsidR="00686480" w:rsidRPr="00AB3F6C" w:rsidP="00D92221" w14:paraId="3FBD7986" w14:textId="77777777">
      <w:pPr>
        <w:pStyle w:val="Heading1"/>
      </w:pPr>
      <w:r>
        <w:t>Additional information</w:t>
      </w:r>
    </w:p>
    <w:p w:rsidR="00F113FB" w:rsidP="0083088B" w14:paraId="62EBDCC6" w14:textId="77777777">
      <w:r>
        <w:t>Cabo Verde has not yet communicated its acceptance of the Code of Good Practice for the Preparation, Adoption and Application of Standards. This will be done once the decision has been made by the country's standardization authority.</w:t>
      </w:r>
    </w:p>
    <w:p w:rsidR="0083088B" w:rsidRPr="00AB3F6C" w:rsidP="0083088B" w14:paraId="0B023672" w14:textId="77777777"/>
    <w:p w:rsidR="00A66777" w:rsidP="0083088B" w14:paraId="6472F3BC" w14:textId="7222A0CC">
      <w:r>
        <w:t>Cabo Verde is a member of ECOWAS and participates in the regional quality infrastructure system, which includes the ECOWAS Community Council for Quality and the ECOWAS Regional Agency for Quality (</w:t>
      </w:r>
      <w:r>
        <w:t>ECOWAQ</w:t>
      </w:r>
      <w:r>
        <w:t xml:space="preserve">). </w:t>
      </w:r>
      <w:r>
        <w:t>ECOWAQ</w:t>
      </w:r>
      <w:r>
        <w:t xml:space="preserve"> is made up of several committees (standardization, technical regulations, metrology, conformity assessment and accreditation system).</w:t>
      </w:r>
    </w:p>
    <w:p w:rsidR="0083088B" w:rsidP="0083088B" w14:paraId="7E86BD34" w14:textId="77777777"/>
    <w:p w:rsidR="0083088B" w:rsidRPr="0083088B" w:rsidP="0083088B" w14:paraId="5B0DFA28" w14:textId="4242C7AB">
      <w:pPr>
        <w:jc w:val="center"/>
      </w:pPr>
      <w:r>
        <w:rPr>
          <w:b/>
        </w:rPr>
        <w:t>__________</w:t>
      </w:r>
    </w:p>
    <w:sectPr w:rsidSect="00530E97">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530E97" w:rsidP="00530E97" w14:paraId="2E3BF867"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530E97" w:rsidP="00530E97" w14:paraId="432749BA"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D3C" w14:paraId="4FC695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3AFF" w:rsidP="00ED54E0" w14:paraId="6E7D173C" w14:textId="77777777">
      <w:r>
        <w:separator/>
      </w:r>
    </w:p>
  </w:footnote>
  <w:footnote w:type="continuationSeparator" w:id="1">
    <w:p w:rsidR="009B3AFF" w:rsidP="00ED54E0" w14:paraId="769481E7" w14:textId="77777777">
      <w:r>
        <w:continuationSeparator/>
      </w:r>
    </w:p>
  </w:footnote>
  <w:footnote w:id="2">
    <w:p w:rsidR="00161904" w:rsidRPr="00161904" w14:paraId="0A88D512" w14:textId="32D27E60">
      <w:pPr>
        <w:pStyle w:val="FootnoteText"/>
        <w:rPr>
          <w:lang w:val="fr-CH"/>
        </w:rPr>
      </w:pPr>
      <w:r>
        <w:rPr>
          <w:rStyle w:val="FootnoteReference"/>
        </w:rPr>
        <w:footnoteRef/>
      </w:r>
      <w:r>
        <w:t xml:space="preserve"> </w:t>
      </w:r>
      <w:r w:rsidRPr="00161904">
        <w:t xml:space="preserve">Enquiry point and notification authority contact details may subsequently be updated after the circulation of this notification. The latest information is available on </w:t>
      </w:r>
      <w:hyperlink r:id="rId1" w:history="1">
        <w:r w:rsidRPr="00161904">
          <w:rPr>
            <w:rStyle w:val="Hyperlink"/>
          </w:rPr>
          <w:t>ePing</w:t>
        </w:r>
      </w:hyperlink>
      <w:r w:rsidRPr="0016190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E97" w:rsidRPr="00530E97" w:rsidP="00530E97" w14:paraId="4B6C60B5" w14:textId="77777777">
    <w:pPr>
      <w:pStyle w:val="Header"/>
      <w:pBdr>
        <w:bottom w:val="single" w:sz="4" w:space="1" w:color="auto"/>
      </w:pBdr>
      <w:tabs>
        <w:tab w:val="clear" w:pos="4513"/>
        <w:tab w:val="clear" w:pos="9027"/>
      </w:tabs>
      <w:jc w:val="center"/>
    </w:pPr>
    <w:r>
      <w:t>G/TBT/15.2/N/</w:t>
    </w:r>
    <w:r>
      <w:t>CPV</w:t>
    </w:r>
  </w:p>
  <w:p w:rsidR="00530E97" w:rsidRPr="00530E97" w:rsidP="00530E97" w14:paraId="17C6E8CE" w14:textId="77777777">
    <w:pPr>
      <w:pStyle w:val="Header"/>
      <w:pBdr>
        <w:bottom w:val="single" w:sz="4" w:space="1" w:color="auto"/>
      </w:pBdr>
      <w:tabs>
        <w:tab w:val="clear" w:pos="4513"/>
        <w:tab w:val="clear" w:pos="9027"/>
      </w:tabs>
      <w:jc w:val="center"/>
    </w:pPr>
  </w:p>
  <w:p w:rsidR="00530E97" w:rsidRPr="00530E97" w:rsidP="00530E97" w14:paraId="44DDF3A3" w14:textId="77777777">
    <w:pPr>
      <w:pStyle w:val="Header"/>
      <w:pBdr>
        <w:bottom w:val="single" w:sz="4" w:space="1" w:color="auto"/>
      </w:pBdr>
      <w:tabs>
        <w:tab w:val="clear" w:pos="4513"/>
        <w:tab w:val="clear" w:pos="9027"/>
      </w:tabs>
      <w:jc w:val="center"/>
    </w:pPr>
    <w:r>
      <w:t xml:space="preserve">- </w:t>
    </w:r>
    <w:r w:rsidRPr="00530E97">
      <w:fldChar w:fldCharType="begin"/>
    </w:r>
    <w:r w:rsidRPr="00530E97">
      <w:instrText xml:space="preserve"> PAGE </w:instrText>
    </w:r>
    <w:r w:rsidRPr="00530E97">
      <w:fldChar w:fldCharType="separate"/>
    </w:r>
    <w:r w:rsidRPr="00530E97">
      <w:t>4</w:t>
    </w:r>
    <w:r w:rsidRPr="00530E97">
      <w:fldChar w:fldCharType="end"/>
    </w:r>
    <w:r>
      <w:t xml:space="preserve"> -</w:t>
    </w:r>
  </w:p>
  <w:p w:rsidR="00544326" w:rsidRPr="00530E97" w:rsidP="00530E97" w14:paraId="11D8950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E97" w:rsidRPr="00530E97" w:rsidP="00530E97" w14:paraId="0BC2E3B4" w14:textId="77777777">
    <w:pPr>
      <w:pStyle w:val="Header"/>
      <w:pBdr>
        <w:bottom w:val="single" w:sz="4" w:space="1" w:color="auto"/>
      </w:pBdr>
      <w:tabs>
        <w:tab w:val="clear" w:pos="4513"/>
        <w:tab w:val="clear" w:pos="9027"/>
      </w:tabs>
      <w:jc w:val="center"/>
    </w:pPr>
    <w:r>
      <w:t>G/TBT/15.2/N/</w:t>
    </w:r>
    <w:r>
      <w:t>CPV</w:t>
    </w:r>
  </w:p>
  <w:p w:rsidR="00530E97" w:rsidRPr="00530E97" w:rsidP="00530E97" w14:paraId="4EA614BB" w14:textId="77777777">
    <w:pPr>
      <w:pStyle w:val="Header"/>
      <w:pBdr>
        <w:bottom w:val="single" w:sz="4" w:space="1" w:color="auto"/>
      </w:pBdr>
      <w:tabs>
        <w:tab w:val="clear" w:pos="4513"/>
        <w:tab w:val="clear" w:pos="9027"/>
      </w:tabs>
      <w:jc w:val="center"/>
    </w:pPr>
  </w:p>
  <w:p w:rsidR="00530E97" w:rsidRPr="00530E97" w:rsidP="00530E97" w14:paraId="54762771" w14:textId="77777777">
    <w:pPr>
      <w:pStyle w:val="Header"/>
      <w:pBdr>
        <w:bottom w:val="single" w:sz="4" w:space="1" w:color="auto"/>
      </w:pBdr>
      <w:tabs>
        <w:tab w:val="clear" w:pos="4513"/>
        <w:tab w:val="clear" w:pos="9027"/>
      </w:tabs>
      <w:jc w:val="center"/>
    </w:pPr>
    <w:r>
      <w:t xml:space="preserve">- </w:t>
    </w:r>
    <w:r w:rsidRPr="00530E97">
      <w:fldChar w:fldCharType="begin"/>
    </w:r>
    <w:r w:rsidRPr="00530E97">
      <w:instrText xml:space="preserve"> PAGE </w:instrText>
    </w:r>
    <w:r w:rsidRPr="00530E97">
      <w:fldChar w:fldCharType="separate"/>
    </w:r>
    <w:r w:rsidRPr="00530E97">
      <w:t>3</w:t>
    </w:r>
    <w:r w:rsidRPr="00530E97">
      <w:fldChar w:fldCharType="end"/>
    </w:r>
    <w:r>
      <w:t xml:space="preserve"> -</w:t>
    </w:r>
  </w:p>
  <w:p w:rsidR="00544326" w:rsidRPr="00530E97" w:rsidP="00530E97" w14:paraId="53D40E4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261BBF3C" w14:textId="77777777" w:rsidTr="004A77FC">
      <w:tblPrEx>
        <w:tblW w:w="5000" w:type="pct"/>
        <w:jc w:val="center"/>
        <w:tblLook w:val="04A0"/>
      </w:tblPrEx>
      <w:trPr>
        <w:trHeight w:val="240"/>
        <w:jc w:val="center"/>
      </w:trPr>
      <w:tc>
        <w:tcPr>
          <w:tcW w:w="2053" w:type="pct"/>
          <w:tcMar>
            <w:left w:w="108" w:type="dxa"/>
            <w:right w:w="108" w:type="dxa"/>
          </w:tcMar>
          <w:vAlign w:val="center"/>
        </w:tcPr>
        <w:p w:rsidR="004A77FC" w:rsidRPr="004A77FC" w:rsidP="00703F81" w14:paraId="39FA69E2" w14:textId="77777777">
          <w:pPr>
            <w:rPr>
              <w:rFonts w:eastAsia="Verdana" w:cs="Verdana"/>
              <w:noProof/>
              <w:szCs w:val="18"/>
            </w:rPr>
          </w:pPr>
          <w:bookmarkStart w:id="1" w:name="bmkRestricted" w:colFirst="1" w:colLast="1"/>
          <w:bookmarkStart w:id="2" w:name="bmkMasthead"/>
        </w:p>
      </w:tc>
      <w:tc>
        <w:tcPr>
          <w:tcW w:w="2947" w:type="pct"/>
          <w:gridSpan w:val="2"/>
          <w:tcMar>
            <w:left w:w="108" w:type="dxa"/>
            <w:right w:w="108" w:type="dxa"/>
          </w:tcMar>
          <w:vAlign w:val="center"/>
        </w:tcPr>
        <w:p w:rsidR="004A77FC" w:rsidRPr="004A77FC" w:rsidP="00703F81" w14:paraId="56BCDA9E" w14:textId="77777777">
          <w:pPr>
            <w:jc w:val="right"/>
            <w:rPr>
              <w:rFonts w:eastAsia="Verdana" w:cs="Verdana"/>
              <w:b/>
              <w:color w:val="FF0000"/>
              <w:szCs w:val="18"/>
              <w:lang w:val="fr-FR"/>
            </w:rPr>
          </w:pPr>
        </w:p>
      </w:tc>
    </w:tr>
    <w:tr w14:paraId="4E8F9203" w14:textId="77777777" w:rsidTr="004A77FC">
      <w:tblPrEx>
        <w:tblW w:w="5000" w:type="pct"/>
        <w:jc w:val="center"/>
        <w:tblLook w:val="04A0"/>
      </w:tblPrEx>
      <w:trPr>
        <w:trHeight w:val="213"/>
        <w:jc w:val="center"/>
      </w:trPr>
      <w:tc>
        <w:tcPr>
          <w:tcW w:w="2053" w:type="pct"/>
          <w:vMerge w:val="restart"/>
          <w:tcMar>
            <w:left w:w="0" w:type="dxa"/>
            <w:right w:w="0" w:type="dxa"/>
          </w:tcMar>
        </w:tcPr>
        <w:p w:rsidR="004A77FC" w:rsidRPr="004A77FC" w:rsidP="00703F81" w14:paraId="1184207D" w14:textId="60CD89EF">
          <w:pPr>
            <w:jc w:val="left"/>
            <w:rPr>
              <w:rFonts w:eastAsia="Verdana" w:cs="Verdana"/>
              <w:szCs w:val="18"/>
            </w:rPr>
          </w:pPr>
          <w:bookmarkStart w:id="3" w:name="bmkLogo" w:colFirst="0" w:colLast="0"/>
          <w:bookmarkEnd w:id="1"/>
          <w:r>
            <w:rPr>
              <w:noProof/>
            </w:rPr>
            <w:drawing>
              <wp:inline distT="0" distB="0" distL="0" distR="0">
                <wp:extent cx="2415902" cy="720090"/>
                <wp:effectExtent l="0" t="0" r="3810" b="381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tcMar>
            <w:left w:w="108" w:type="dxa"/>
            <w:right w:w="108" w:type="dxa"/>
          </w:tcMar>
        </w:tcPr>
        <w:p w:rsidR="004A77FC" w:rsidRPr="004A77FC" w:rsidP="00703F81" w14:paraId="14DF1E06" w14:textId="77777777">
          <w:pPr>
            <w:jc w:val="right"/>
            <w:rPr>
              <w:rFonts w:eastAsia="Verdana" w:cs="Verdana"/>
              <w:b/>
              <w:szCs w:val="18"/>
              <w:lang w:val="fr-FR"/>
            </w:rPr>
          </w:pPr>
        </w:p>
      </w:tc>
    </w:tr>
    <w:tr w14:paraId="3A36BBB6" w14:textId="77777777" w:rsidTr="004A77FC">
      <w:tblPrEx>
        <w:tblW w:w="5000" w:type="pct"/>
        <w:jc w:val="center"/>
        <w:tblLook w:val="04A0"/>
      </w:tblPrEx>
      <w:trPr>
        <w:trHeight w:val="868"/>
        <w:jc w:val="center"/>
      </w:trPr>
      <w:tc>
        <w:tcPr>
          <w:tcW w:w="2053" w:type="pct"/>
          <w:vMerge/>
          <w:tcMar>
            <w:left w:w="108" w:type="dxa"/>
            <w:right w:w="108" w:type="dxa"/>
          </w:tcMar>
        </w:tcPr>
        <w:p w:rsidR="004A77FC" w:rsidRPr="004A77FC" w:rsidP="00703F81" w14:paraId="74E16204" w14:textId="77777777">
          <w:pPr>
            <w:jc w:val="left"/>
            <w:rPr>
              <w:rFonts w:eastAsia="Verdana" w:cs="Verdana"/>
              <w:noProof/>
              <w:szCs w:val="18"/>
            </w:rPr>
          </w:pPr>
          <w:bookmarkStart w:id="4" w:name="bmkSymbols" w:colFirst="1" w:colLast="1"/>
          <w:bookmarkEnd w:id="3"/>
        </w:p>
      </w:tc>
      <w:tc>
        <w:tcPr>
          <w:tcW w:w="2947" w:type="pct"/>
          <w:gridSpan w:val="2"/>
          <w:tcMar>
            <w:left w:w="108" w:type="dxa"/>
            <w:right w:w="108" w:type="dxa"/>
          </w:tcMar>
        </w:tcPr>
        <w:p w:rsidR="004A77FC" w:rsidRPr="004A77FC" w:rsidP="00703F81" w14:paraId="057A26FF" w14:textId="55C9E47D">
          <w:pPr>
            <w:jc w:val="right"/>
            <w:rPr>
              <w:rFonts w:eastAsia="Verdana" w:cs="Verdana"/>
              <w:b/>
              <w:szCs w:val="18"/>
            </w:rPr>
          </w:pPr>
          <w:r>
            <w:rPr>
              <w:b/>
            </w:rPr>
            <w:t>G/TBT/15.2/N/</w:t>
          </w:r>
          <w:r>
            <w:rPr>
              <w:b/>
            </w:rPr>
            <w:t>CPV</w:t>
          </w:r>
        </w:p>
      </w:tc>
    </w:tr>
    <w:tr w14:paraId="734B85E6" w14:textId="77777777" w:rsidTr="004A77FC">
      <w:tblPrEx>
        <w:tblW w:w="5000" w:type="pct"/>
        <w:jc w:val="center"/>
        <w:tblLook w:val="04A0"/>
      </w:tblPrEx>
      <w:trPr>
        <w:trHeight w:val="240"/>
        <w:jc w:val="center"/>
      </w:trPr>
      <w:tc>
        <w:tcPr>
          <w:tcW w:w="2053" w:type="pct"/>
          <w:vMerge/>
          <w:tcMar>
            <w:left w:w="108" w:type="dxa"/>
            <w:right w:w="108" w:type="dxa"/>
          </w:tcMar>
          <w:vAlign w:val="center"/>
        </w:tcPr>
        <w:p w:rsidR="004A77FC" w:rsidRPr="004A77FC" w:rsidP="00703F81" w14:paraId="60CBFBFF" w14:textId="77777777">
          <w:pPr>
            <w:rPr>
              <w:rFonts w:eastAsia="Verdana" w:cs="Verdana"/>
              <w:szCs w:val="18"/>
            </w:rPr>
          </w:pPr>
          <w:bookmarkEnd w:id="4"/>
        </w:p>
      </w:tc>
      <w:tc>
        <w:tcPr>
          <w:tcW w:w="2947" w:type="pct"/>
          <w:gridSpan w:val="2"/>
          <w:tcMar>
            <w:left w:w="108" w:type="dxa"/>
            <w:right w:w="108" w:type="dxa"/>
          </w:tcMar>
          <w:vAlign w:val="center"/>
        </w:tcPr>
        <w:p w:rsidR="004A77FC" w:rsidRPr="004A77FC" w:rsidP="00703F81" w14:paraId="0C8F5F66" w14:textId="064AE5E3">
          <w:pPr>
            <w:jc w:val="right"/>
            <w:rPr>
              <w:rFonts w:eastAsia="Verdana" w:cs="Verdana"/>
              <w:szCs w:val="18"/>
            </w:rPr>
          </w:pPr>
          <w:r>
            <w:t>5 August 2025</w:t>
          </w:r>
        </w:p>
      </w:tc>
    </w:tr>
    <w:tr w14:paraId="27BA7A5D" w14:textId="77777777" w:rsidTr="004A77FC">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4A77FC" w:rsidRPr="004A77FC" w:rsidP="00703F81" w14:paraId="335CAB16" w14:textId="03379FF3">
          <w:pPr>
            <w:jc w:val="left"/>
            <w:rPr>
              <w:rFonts w:eastAsia="Verdana" w:cs="Verdana"/>
              <w:b/>
              <w:szCs w:val="18"/>
            </w:rPr>
          </w:pPr>
          <w:bookmarkStart w:id="5" w:name="bmkSerial" w:colFirst="0" w:colLast="0"/>
          <w:r>
            <w:rPr>
              <w:b w:val="0"/>
              <w:color w:val="FF0000"/>
            </w:rPr>
            <w:t>(25-5003)</w:t>
          </w:r>
        </w:p>
      </w:tc>
      <w:tc>
        <w:tcPr>
          <w:tcW w:w="1799" w:type="pct"/>
          <w:tcBorders>
            <w:bottom w:val="single" w:sz="4" w:space="0" w:color="auto"/>
          </w:tcBorders>
          <w:tcMar>
            <w:top w:w="0" w:type="dxa"/>
            <w:left w:w="108" w:type="dxa"/>
            <w:bottom w:w="57" w:type="dxa"/>
            <w:right w:w="108" w:type="dxa"/>
          </w:tcMar>
          <w:vAlign w:val="bottom"/>
        </w:tcPr>
        <w:p w:rsidR="004A77FC" w:rsidRPr="004A77FC" w:rsidP="00703F81" w14:paraId="051C3F71" w14:textId="5768AB6C">
          <w:pPr>
            <w:jc w:val="right"/>
            <w:rPr>
              <w:rFonts w:eastAsia="Verdana" w:cs="Verdana"/>
              <w:szCs w:val="18"/>
            </w:rPr>
          </w:pPr>
          <w:r>
            <w:t xml:space="preserve">Page: </w:t>
          </w:r>
          <w:r>
            <w:rPr>
              <w:rFonts w:eastAsia="Verdana" w:cs="Verdana"/>
            </w:rPr>
            <w:fldChar w:fldCharType="begin"/>
          </w:r>
          <w:r>
            <w:rPr>
              <w:rFonts w:eastAsia="Verdana" w:cs="Verdana"/>
            </w:rPr>
            <w:instrText xml:space="preserve"> PAGE  \* Arabic  \* MERGEFORMAT </w:instrText>
          </w:r>
          <w:r>
            <w:rPr>
              <w:rFonts w:eastAsia="Verdana" w:cs="Verdana"/>
            </w:rPr>
            <w:fldChar w:fldCharType="separate"/>
          </w:r>
          <w:r>
            <w:rPr>
              <w:rFonts w:ascii="Verdana" w:eastAsia="Verdana" w:hAnsi="Verdana" w:cs="Verdana"/>
              <w:sz w:val="18"/>
              <w:szCs w:val="22"/>
              <w:lang w:val="en-GB" w:eastAsia="en-US" w:bidi="ar-SA"/>
            </w:rPr>
            <w:t>1</w:t>
          </w:r>
          <w:r>
            <w:rPr>
              <w:rFonts w:eastAsia="Verdana" w:cs="Verdana"/>
            </w:rPr>
            <w:fldChar w:fldCharType="end"/>
          </w:r>
          <w:r>
            <w:t>/</w:t>
          </w:r>
          <w:r>
            <w:rPr>
              <w:rFonts w:eastAsia="Verdana" w:cs="Verdana"/>
            </w:rPr>
            <w:fldChar w:fldCharType="begin"/>
          </w:r>
          <w:r>
            <w:rPr>
              <w:rFonts w:eastAsia="Verdana" w:cs="Verdana"/>
            </w:rPr>
            <w:instrText xml:space="preserve"> NUMPAGES  \# "0" \* Arabic  \* MERGEFORMAT </w:instrText>
          </w:r>
          <w:r>
            <w:rPr>
              <w:rFonts w:eastAsia="Verdana" w:cs="Verdana"/>
            </w:rPr>
            <w:fldChar w:fldCharType="separate"/>
          </w:r>
          <w:r>
            <w:rPr>
              <w:rFonts w:ascii="Verdana" w:eastAsia="Verdana" w:hAnsi="Verdana" w:cs="Verdana"/>
              <w:sz w:val="18"/>
              <w:szCs w:val="22"/>
              <w:lang w:val="en-GB" w:eastAsia="en-US" w:bidi="ar-SA"/>
            </w:rPr>
            <w:t>4</w:t>
          </w:r>
          <w:r>
            <w:rPr>
              <w:rFonts w:eastAsia="Verdana" w:cs="Verdana"/>
            </w:rPr>
            <w:fldChar w:fldCharType="end"/>
          </w:r>
        </w:p>
      </w:tc>
    </w:tr>
    <w:tr w14:paraId="4BFDA106" w14:textId="77777777" w:rsidTr="004A77FC">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4A77FC" w:rsidRPr="004A77FC" w:rsidP="00703F81" w14:paraId="37F510FC" w14:textId="33F40365">
          <w:pPr>
            <w:jc w:val="left"/>
            <w:rPr>
              <w:rFonts w:eastAsia="Verdana" w:cs="Verdana"/>
              <w:szCs w:val="18"/>
            </w:rPr>
          </w:pPr>
          <w:bookmarkStart w:id="6" w:name="bmkCommittee" w:colFirst="0" w:colLast="0"/>
          <w:bookmarkStart w:id="7" w:name="bmkLanguage" w:colFirst="1" w:colLast="1"/>
          <w:bookmarkEnd w:id="5"/>
          <w:r>
            <w:rPr>
              <w:b/>
            </w:rPr>
            <w:t>Committee on Technical Barriers to Trade</w:t>
          </w:r>
        </w:p>
      </w:tc>
      <w:tc>
        <w:tcPr>
          <w:tcW w:w="1799" w:type="pct"/>
          <w:tcBorders>
            <w:top w:val="single" w:sz="4" w:space="0" w:color="auto"/>
          </w:tcBorders>
          <w:tcMar>
            <w:top w:w="113" w:type="dxa"/>
            <w:left w:w="108" w:type="dxa"/>
            <w:bottom w:w="57" w:type="dxa"/>
            <w:right w:w="108" w:type="dxa"/>
          </w:tcMar>
        </w:tcPr>
        <w:p w:rsidR="004A77FC" w:rsidRPr="004A77FC" w:rsidP="00703F81" w14:paraId="4F996D29" w14:textId="047807AC">
          <w:pPr>
            <w:jc w:val="right"/>
            <w:rPr>
              <w:rFonts w:eastAsia="Verdana" w:cs="Verdana"/>
              <w:bCs/>
              <w:szCs w:val="18"/>
            </w:rPr>
          </w:pPr>
          <w:r>
            <w:t>Original: French</w:t>
          </w:r>
        </w:p>
      </w:tc>
    </w:tr>
    <w:bookmarkEnd w:id="2"/>
    <w:bookmarkEnd w:id="6"/>
    <w:bookmarkEnd w:id="7"/>
  </w:tbl>
  <w:p w:rsidR="00ED54E0" w:rsidRPr="004A77FC" w14:paraId="09D2940B" w14:textId="7777777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5">
    <w:nsid w:val="48F805B6"/>
    <w:multiLevelType w:val="multilevel"/>
    <w:tmpl w:val="669C0A3A"/>
    <w:name w:val="WTO2012Normal6"/>
    <w:lvl w:ilvl="0">
      <w:start w:val="1"/>
      <w:numFmt w:val="decimal"/>
      <w:isLgl/>
      <w:suff w:val="nothing"/>
      <w:lvlText w:val="%1  "/>
      <w:lvlJc w:val="left"/>
      <w:pPr>
        <w:ind w:left="0" w:firstLine="0"/>
      </w:pPr>
    </w:lvl>
    <w:lvl w:ilvl="1">
      <w:start w:val="1"/>
      <w:numFmt w:val="decimal"/>
      <w:isLgl/>
      <w:suff w:val="nothing"/>
      <w:lvlText w:val="%1.%2  "/>
      <w:lvlJc w:val="left"/>
      <w:pPr>
        <w:ind w:left="0" w:firstLine="0"/>
      </w:pPr>
    </w:lvl>
    <w:lvl w:ilvl="2">
      <w:start w:val="1"/>
      <w:numFmt w:val="decimal"/>
      <w:isLgl/>
      <w:suff w:val="nothing"/>
      <w:lvlText w:val="%1.%2.%3  "/>
      <w:lvlJc w:val="left"/>
      <w:pPr>
        <w:ind w:left="0" w:firstLine="0"/>
      </w:pPr>
    </w:lvl>
    <w:lvl w:ilvl="3">
      <w:start w:val="1"/>
      <w:numFmt w:val="decimal"/>
      <w:isLgl/>
      <w:suff w:val="nothing"/>
      <w:lvlText w:val="%1.%2.%3.%4  "/>
      <w:lvlJc w:val="left"/>
      <w:pPr>
        <w:ind w:left="0" w:firstLine="0"/>
      </w:pPr>
    </w:lvl>
    <w:lvl w:ilvl="4">
      <w:start w:val="1"/>
      <w:numFmt w:val="decimal"/>
      <w:isLgl/>
      <w:suff w:val="nothing"/>
      <w:lvlText w:val="%1.%2.%3.%4.%5  "/>
      <w:lvlJc w:val="left"/>
      <w:pPr>
        <w:ind w:left="0" w:firstLine="0"/>
      </w:pPr>
    </w:lvl>
    <w:lvl w:ilvl="5">
      <w:start w:val="1"/>
      <w:numFmt w:val="decimal"/>
      <w:isLgl/>
      <w:suff w:val="nothing"/>
      <w:lvlText w:val="%1.%2.%3.%4.%5.%6  "/>
      <w:lvlJc w:val="left"/>
      <w:pPr>
        <w:ind w:left="0" w:firstLine="0"/>
      </w:pPr>
    </w:lvl>
    <w:lvl w:ilvl="6">
      <w:start w:val="1"/>
      <w:numFmt w:val="decimal"/>
      <w:lvlRestart w:val="0"/>
      <w:suff w:val="nothing"/>
      <w:lvlText w:val="%7.  "/>
      <w:lvlJc w:val="left"/>
      <w:pPr>
        <w:ind w:left="0" w:firstLine="0"/>
      </w:pPr>
    </w:lvl>
    <w:lvl w:ilvl="7">
      <w:start w:val="1"/>
      <w:numFmt w:val="lowerLetter"/>
      <w:lvlText w:val="%8."/>
      <w:lvlJc w:val="left"/>
      <w:pPr>
        <w:tabs>
          <w:tab w:val="num" w:pos="907"/>
        </w:tabs>
        <w:ind w:left="907" w:hanging="340"/>
      </w:pPr>
    </w:lvl>
    <w:lvl w:ilvl="8">
      <w:start w:val="1"/>
      <w:numFmt w:val="lowerRoman"/>
      <w:lvlText w:val="%9."/>
      <w:lvlJc w:val="left"/>
      <w:pPr>
        <w:tabs>
          <w:tab w:val="num" w:pos="1247"/>
        </w:tabs>
        <w:ind w:left="1247" w:hanging="340"/>
      </w:pPr>
    </w:lvl>
  </w:abstractNum>
  <w:abstractNum w:abstractNumId="6">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7">
    <w:nsid w:val="57454AB1"/>
    <w:multiLevelType w:val="multilevel"/>
    <w:tmpl w:val="3888095E"/>
    <w:lvl w:ilvl="0">
      <w:start w:val="1"/>
      <w:numFmt w:val="decimal"/>
      <w:pStyle w:val="Heading1"/>
      <w:isLgl/>
      <w:suff w:val="nothing"/>
      <w:lvlText w:val="%1  "/>
      <w:lvlJc w:val="left"/>
      <w:pPr>
        <w:ind w:left="0" w:firstLine="0"/>
      </w:p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b w:val="0"/>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8">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9">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8326F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2726628">
    <w:abstractNumId w:val="8"/>
  </w:num>
  <w:num w:numId="2" w16cid:durableId="812215186">
    <w:abstractNumId w:val="7"/>
  </w:num>
  <w:num w:numId="3" w16cid:durableId="1302808291">
    <w:abstractNumId w:val="6"/>
  </w:num>
  <w:num w:numId="4" w16cid:durableId="308248059">
    <w:abstractNumId w:val="9"/>
  </w:num>
  <w:num w:numId="5" w16cid:durableId="143086670">
    <w:abstractNumId w:val="4"/>
  </w:num>
  <w:num w:numId="6" w16cid:durableId="1854218508">
    <w:abstractNumId w:val="3"/>
  </w:num>
  <w:num w:numId="7" w16cid:durableId="446237740">
    <w:abstractNumId w:val="2"/>
  </w:num>
  <w:num w:numId="8" w16cid:durableId="1185173951">
    <w:abstractNumId w:val="1"/>
  </w:num>
  <w:num w:numId="9" w16cid:durableId="406810666">
    <w:abstractNumId w:val="0"/>
  </w:num>
  <w:num w:numId="10" w16cid:durableId="1604336499">
    <w:abstractNumId w:val="10"/>
  </w:num>
  <w:num w:numId="11" w16cid:durableId="238443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567"/>
  <w:hyphenationZone w:val="425"/>
  <w:evenAndOddHeader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1B"/>
    <w:rsid w:val="0000396E"/>
    <w:rsid w:val="0001481E"/>
    <w:rsid w:val="00016333"/>
    <w:rsid w:val="000272F6"/>
    <w:rsid w:val="00037AC4"/>
    <w:rsid w:val="000423BF"/>
    <w:rsid w:val="00050D1D"/>
    <w:rsid w:val="00057D00"/>
    <w:rsid w:val="000706FF"/>
    <w:rsid w:val="00077DC5"/>
    <w:rsid w:val="00097FCA"/>
    <w:rsid w:val="000A227B"/>
    <w:rsid w:val="000A4945"/>
    <w:rsid w:val="000B31E1"/>
    <w:rsid w:val="000D0544"/>
    <w:rsid w:val="001041E3"/>
    <w:rsid w:val="0011356B"/>
    <w:rsid w:val="00114434"/>
    <w:rsid w:val="00115F64"/>
    <w:rsid w:val="001223FC"/>
    <w:rsid w:val="001253E3"/>
    <w:rsid w:val="0013337F"/>
    <w:rsid w:val="00154C67"/>
    <w:rsid w:val="00161904"/>
    <w:rsid w:val="00182B84"/>
    <w:rsid w:val="00195DA8"/>
    <w:rsid w:val="001B6605"/>
    <w:rsid w:val="001B6D7F"/>
    <w:rsid w:val="001E291F"/>
    <w:rsid w:val="001E7870"/>
    <w:rsid w:val="00212EBE"/>
    <w:rsid w:val="00215898"/>
    <w:rsid w:val="00233408"/>
    <w:rsid w:val="00242F64"/>
    <w:rsid w:val="002575EC"/>
    <w:rsid w:val="0027067B"/>
    <w:rsid w:val="00281808"/>
    <w:rsid w:val="00286690"/>
    <w:rsid w:val="002A71E0"/>
    <w:rsid w:val="002F45B0"/>
    <w:rsid w:val="002F707E"/>
    <w:rsid w:val="003018FC"/>
    <w:rsid w:val="00305CBA"/>
    <w:rsid w:val="003124F2"/>
    <w:rsid w:val="003156C6"/>
    <w:rsid w:val="00341F5E"/>
    <w:rsid w:val="003572B4"/>
    <w:rsid w:val="003663F6"/>
    <w:rsid w:val="00392709"/>
    <w:rsid w:val="0039567B"/>
    <w:rsid w:val="003A0337"/>
    <w:rsid w:val="003A3017"/>
    <w:rsid w:val="003B052C"/>
    <w:rsid w:val="003B6EE5"/>
    <w:rsid w:val="003D0750"/>
    <w:rsid w:val="003D201D"/>
    <w:rsid w:val="00425D5D"/>
    <w:rsid w:val="00425DC5"/>
    <w:rsid w:val="00430E77"/>
    <w:rsid w:val="004365D1"/>
    <w:rsid w:val="00442465"/>
    <w:rsid w:val="00463D3C"/>
    <w:rsid w:val="00463E2D"/>
    <w:rsid w:val="00467032"/>
    <w:rsid w:val="0046754A"/>
    <w:rsid w:val="00467C85"/>
    <w:rsid w:val="0047051A"/>
    <w:rsid w:val="00491CB0"/>
    <w:rsid w:val="00495AC9"/>
    <w:rsid w:val="004A266B"/>
    <w:rsid w:val="004A77FC"/>
    <w:rsid w:val="004C18C1"/>
    <w:rsid w:val="004C3EDE"/>
    <w:rsid w:val="004E6D4C"/>
    <w:rsid w:val="004F203A"/>
    <w:rsid w:val="00510DE9"/>
    <w:rsid w:val="005259CA"/>
    <w:rsid w:val="00530E97"/>
    <w:rsid w:val="005336B8"/>
    <w:rsid w:val="00542407"/>
    <w:rsid w:val="00544326"/>
    <w:rsid w:val="00547B5F"/>
    <w:rsid w:val="00551A16"/>
    <w:rsid w:val="0056365B"/>
    <w:rsid w:val="00563DFE"/>
    <w:rsid w:val="0056480E"/>
    <w:rsid w:val="00566FC4"/>
    <w:rsid w:val="00570AA7"/>
    <w:rsid w:val="00586652"/>
    <w:rsid w:val="00586EA6"/>
    <w:rsid w:val="00590DD8"/>
    <w:rsid w:val="005A1A22"/>
    <w:rsid w:val="005B04B9"/>
    <w:rsid w:val="005B68C7"/>
    <w:rsid w:val="005B7054"/>
    <w:rsid w:val="005C4025"/>
    <w:rsid w:val="005D5981"/>
    <w:rsid w:val="005F30CB"/>
    <w:rsid w:val="005F4C1F"/>
    <w:rsid w:val="005F727F"/>
    <w:rsid w:val="00612644"/>
    <w:rsid w:val="00621603"/>
    <w:rsid w:val="00634A10"/>
    <w:rsid w:val="006517A0"/>
    <w:rsid w:val="00674CCD"/>
    <w:rsid w:val="00686480"/>
    <w:rsid w:val="00694BCE"/>
    <w:rsid w:val="006967BF"/>
    <w:rsid w:val="006972F9"/>
    <w:rsid w:val="006A2185"/>
    <w:rsid w:val="006C3955"/>
    <w:rsid w:val="006F5826"/>
    <w:rsid w:val="00700181"/>
    <w:rsid w:val="00701570"/>
    <w:rsid w:val="00703F81"/>
    <w:rsid w:val="007100D2"/>
    <w:rsid w:val="007141CF"/>
    <w:rsid w:val="007152F6"/>
    <w:rsid w:val="0073791A"/>
    <w:rsid w:val="00745146"/>
    <w:rsid w:val="007577E3"/>
    <w:rsid w:val="00760DB3"/>
    <w:rsid w:val="00762A2B"/>
    <w:rsid w:val="0076560E"/>
    <w:rsid w:val="0078157E"/>
    <w:rsid w:val="00795A4B"/>
    <w:rsid w:val="007972BA"/>
    <w:rsid w:val="007C0FA5"/>
    <w:rsid w:val="007C3889"/>
    <w:rsid w:val="007D40B3"/>
    <w:rsid w:val="007E447B"/>
    <w:rsid w:val="007E6507"/>
    <w:rsid w:val="007F2B8E"/>
    <w:rsid w:val="007F32D1"/>
    <w:rsid w:val="00807247"/>
    <w:rsid w:val="0081697F"/>
    <w:rsid w:val="008262D4"/>
    <w:rsid w:val="0083088B"/>
    <w:rsid w:val="008404BF"/>
    <w:rsid w:val="00840C2B"/>
    <w:rsid w:val="00854FA3"/>
    <w:rsid w:val="00862B40"/>
    <w:rsid w:val="008739FD"/>
    <w:rsid w:val="00893E85"/>
    <w:rsid w:val="008940F9"/>
    <w:rsid w:val="008B7F72"/>
    <w:rsid w:val="008C4FB6"/>
    <w:rsid w:val="008D7949"/>
    <w:rsid w:val="008E372C"/>
    <w:rsid w:val="008E71AE"/>
    <w:rsid w:val="008F7899"/>
    <w:rsid w:val="00906997"/>
    <w:rsid w:val="00912888"/>
    <w:rsid w:val="009129D0"/>
    <w:rsid w:val="009178DE"/>
    <w:rsid w:val="00981BF2"/>
    <w:rsid w:val="009A0597"/>
    <w:rsid w:val="009A6F54"/>
    <w:rsid w:val="009B3AFF"/>
    <w:rsid w:val="009C2247"/>
    <w:rsid w:val="009C4212"/>
    <w:rsid w:val="009C51D7"/>
    <w:rsid w:val="009E4786"/>
    <w:rsid w:val="009F4222"/>
    <w:rsid w:val="00A12730"/>
    <w:rsid w:val="00A17420"/>
    <w:rsid w:val="00A42354"/>
    <w:rsid w:val="00A6057A"/>
    <w:rsid w:val="00A64843"/>
    <w:rsid w:val="00A66777"/>
    <w:rsid w:val="00A71537"/>
    <w:rsid w:val="00A735E3"/>
    <w:rsid w:val="00A74017"/>
    <w:rsid w:val="00A77E68"/>
    <w:rsid w:val="00A902C3"/>
    <w:rsid w:val="00AA1850"/>
    <w:rsid w:val="00AA332C"/>
    <w:rsid w:val="00AB3F6C"/>
    <w:rsid w:val="00AC27F8"/>
    <w:rsid w:val="00AD30FD"/>
    <w:rsid w:val="00AD4C72"/>
    <w:rsid w:val="00AE2AEE"/>
    <w:rsid w:val="00B00276"/>
    <w:rsid w:val="00B230EC"/>
    <w:rsid w:val="00B239FC"/>
    <w:rsid w:val="00B372A6"/>
    <w:rsid w:val="00B52738"/>
    <w:rsid w:val="00B56EDC"/>
    <w:rsid w:val="00B60206"/>
    <w:rsid w:val="00B66148"/>
    <w:rsid w:val="00B72EB1"/>
    <w:rsid w:val="00B96A74"/>
    <w:rsid w:val="00BA4A34"/>
    <w:rsid w:val="00BB1F84"/>
    <w:rsid w:val="00BB6FBB"/>
    <w:rsid w:val="00BC1A02"/>
    <w:rsid w:val="00BE3476"/>
    <w:rsid w:val="00BE5468"/>
    <w:rsid w:val="00BE5C94"/>
    <w:rsid w:val="00BE7F98"/>
    <w:rsid w:val="00BF79CC"/>
    <w:rsid w:val="00C11EAC"/>
    <w:rsid w:val="00C15F6D"/>
    <w:rsid w:val="00C305D7"/>
    <w:rsid w:val="00C30F2A"/>
    <w:rsid w:val="00C408D1"/>
    <w:rsid w:val="00C43456"/>
    <w:rsid w:val="00C54F1F"/>
    <w:rsid w:val="00C65C0C"/>
    <w:rsid w:val="00C801FF"/>
    <w:rsid w:val="00C808FC"/>
    <w:rsid w:val="00CA1428"/>
    <w:rsid w:val="00CA2EF9"/>
    <w:rsid w:val="00CA7CA2"/>
    <w:rsid w:val="00CD309B"/>
    <w:rsid w:val="00CD481B"/>
    <w:rsid w:val="00CD7D97"/>
    <w:rsid w:val="00CE3EE6"/>
    <w:rsid w:val="00CE4BA1"/>
    <w:rsid w:val="00CF5529"/>
    <w:rsid w:val="00D000C7"/>
    <w:rsid w:val="00D07E2A"/>
    <w:rsid w:val="00D221B8"/>
    <w:rsid w:val="00D26433"/>
    <w:rsid w:val="00D52A9D"/>
    <w:rsid w:val="00D55AAD"/>
    <w:rsid w:val="00D6197F"/>
    <w:rsid w:val="00D62242"/>
    <w:rsid w:val="00D747AE"/>
    <w:rsid w:val="00D92221"/>
    <w:rsid w:val="00D9226C"/>
    <w:rsid w:val="00DA20BD"/>
    <w:rsid w:val="00DB0DB8"/>
    <w:rsid w:val="00DB205A"/>
    <w:rsid w:val="00DD14F3"/>
    <w:rsid w:val="00DE50DB"/>
    <w:rsid w:val="00DF6AE1"/>
    <w:rsid w:val="00E17228"/>
    <w:rsid w:val="00E24C3F"/>
    <w:rsid w:val="00E37159"/>
    <w:rsid w:val="00E43F90"/>
    <w:rsid w:val="00E46FD5"/>
    <w:rsid w:val="00E544BB"/>
    <w:rsid w:val="00E56545"/>
    <w:rsid w:val="00E84614"/>
    <w:rsid w:val="00EA1FD2"/>
    <w:rsid w:val="00EA5D4F"/>
    <w:rsid w:val="00EB6C56"/>
    <w:rsid w:val="00ED1D47"/>
    <w:rsid w:val="00ED54E0"/>
    <w:rsid w:val="00EE71F6"/>
    <w:rsid w:val="00EF1B5B"/>
    <w:rsid w:val="00F0186E"/>
    <w:rsid w:val="00F113FB"/>
    <w:rsid w:val="00F32397"/>
    <w:rsid w:val="00F40595"/>
    <w:rsid w:val="00F81002"/>
    <w:rsid w:val="00F9086F"/>
    <w:rsid w:val="00F93F4A"/>
    <w:rsid w:val="00FA5EBC"/>
    <w:rsid w:val="00FB7CC7"/>
    <w:rsid w:val="00FC24C7"/>
    <w:rsid w:val="00FC4031"/>
    <w:rsid w:val="00FD224A"/>
    <w:rsid w:val="00FD784B"/>
    <w:rsid w:val="00FE6CD8"/>
    <w:rsid w:val="00FF2C1C"/>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89F04E8"/>
  <w15:docId w15:val="{0E4A2751-AC00-4B58-9DBD-49D22496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597"/>
    <w:pPr>
      <w:spacing w:after="0" w:line="240" w:lineRule="auto"/>
      <w:jc w:val="both"/>
    </w:pPr>
    <w:rPr>
      <w:rFonts w:ascii="Verdana" w:eastAsia="Calibri" w:hAnsi="Verdana" w:cs="Times New Roman"/>
      <w:sz w:val="18"/>
    </w:rPr>
  </w:style>
  <w:style w:type="paragraph" w:styleId="Heading1">
    <w:name w:val="heading 1"/>
    <w:basedOn w:val="Normal"/>
    <w:next w:val="Heading2"/>
    <w:link w:val="Heading1Char"/>
    <w:uiPriority w:val="2"/>
    <w:qFormat/>
    <w:rsid w:val="00B230EC"/>
    <w:pPr>
      <w:keepNext/>
      <w:keepLines/>
      <w:numPr>
        <w:numId w:val="2"/>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2"/>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2"/>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2"/>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2"/>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2"/>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4A77FC"/>
    <w:pPr>
      <w:tabs>
        <w:tab w:val="left" w:pos="6521"/>
      </w:tabs>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4A77FC"/>
    <w:rPr>
      <w:rFonts w:ascii="Verdana" w:hAnsi="Verdana" w:eastAsiaTheme="majorEastAsia" w:cstheme="majorBidi"/>
      <w:b/>
      <w:caps/>
      <w:color w:val="006283"/>
      <w:kern w:val="28"/>
      <w:sz w:val="18"/>
      <w:szCs w:val="52"/>
      <w:lang w:val="en-GB"/>
    </w:rPr>
  </w:style>
  <w:style w:type="paragraph" w:styleId="BodyText">
    <w:name w:val="Body Text"/>
    <w:basedOn w:val="Normal"/>
    <w:link w:val="BodyTextChar"/>
    <w:uiPriority w:val="1"/>
    <w:qFormat/>
    <w:rsid w:val="00D747AE"/>
    <w:pPr>
      <w:numPr>
        <w:ilvl w:val="6"/>
        <w:numId w:val="2"/>
      </w:numPr>
      <w:spacing w:after="240"/>
    </w:pPr>
  </w:style>
  <w:style w:type="character" w:customStyle="1" w:styleId="BodyTextChar">
    <w:name w:val="Body Text Char"/>
    <w:basedOn w:val="DefaultParagraphFont"/>
    <w:link w:val="BodyText"/>
    <w:uiPriority w:val="1"/>
    <w:rsid w:val="00D747AE"/>
    <w:rPr>
      <w:rFonts w:ascii="Verdana" w:eastAsia="Calibri" w:hAnsi="Verdana" w:cs="Times New Roman"/>
      <w:sz w:val="18"/>
    </w:rPr>
  </w:style>
  <w:style w:type="paragraph" w:styleId="BodyText2">
    <w:name w:val="Body Text 2"/>
    <w:basedOn w:val="Normal"/>
    <w:link w:val="BodyText2Char"/>
    <w:uiPriority w:val="1"/>
    <w:qFormat/>
    <w:rsid w:val="00D747AE"/>
    <w:pPr>
      <w:numPr>
        <w:ilvl w:val="7"/>
        <w:numId w:val="2"/>
      </w:numPr>
      <w:spacing w:after="240"/>
    </w:pPr>
  </w:style>
  <w:style w:type="character" w:customStyle="1" w:styleId="BodyText2Char">
    <w:name w:val="Body Text 2 Char"/>
    <w:basedOn w:val="DefaultParagraphFont"/>
    <w:link w:val="BodyText2"/>
    <w:uiPriority w:val="1"/>
    <w:rsid w:val="00D747AE"/>
    <w:rPr>
      <w:rFonts w:ascii="Verdana" w:eastAsia="Calibri" w:hAnsi="Verdana" w:cs="Times New Roman"/>
      <w:sz w:val="18"/>
    </w:rPr>
  </w:style>
  <w:style w:type="paragraph" w:styleId="BodyText3">
    <w:name w:val="Body Text 3"/>
    <w:basedOn w:val="Normal"/>
    <w:link w:val="BodyText3Char"/>
    <w:uiPriority w:val="1"/>
    <w:qFormat/>
    <w:rsid w:val="00D747AE"/>
    <w:pPr>
      <w:numPr>
        <w:ilvl w:val="8"/>
        <w:numId w:val="2"/>
      </w:numPr>
      <w:spacing w:after="240"/>
    </w:pPr>
    <w:rPr>
      <w:szCs w:val="16"/>
    </w:rPr>
  </w:style>
  <w:style w:type="character" w:customStyle="1" w:styleId="BodyText3Char">
    <w:name w:val="Body Text 3 Char"/>
    <w:basedOn w:val="DefaultParagraphFont"/>
    <w:link w:val="BodyText3"/>
    <w:uiPriority w:val="1"/>
    <w:rsid w:val="00D747AE"/>
    <w:rPr>
      <w:rFonts w:ascii="Verdana" w:eastAsia="Calibri" w:hAnsi="Verdana" w:cs="Times New Roman"/>
      <w:sz w:val="18"/>
      <w:szCs w:val="16"/>
    </w:rPr>
  </w:style>
  <w:style w:type="numbering" w:customStyle="1" w:styleId="LegalHeadings">
    <w:name w:val="LegalHeadings"/>
    <w:uiPriority w:val="99"/>
    <w:rsid w:val="00D747AE"/>
    <w:pPr>
      <w:numPr>
        <w:numId w:val="1"/>
      </w:numPr>
    </w:pPr>
  </w:style>
  <w:style w:type="paragraph" w:styleId="ListBullet">
    <w:name w:val="List Bullet"/>
    <w:basedOn w:val="Normal"/>
    <w:uiPriority w:val="1"/>
    <w:rsid w:val="00AE2AEE"/>
    <w:pPr>
      <w:numPr>
        <w:numId w:val="3"/>
      </w:numPr>
      <w:spacing w:after="240"/>
    </w:pPr>
  </w:style>
  <w:style w:type="paragraph" w:styleId="ListBullet2">
    <w:name w:val="List Bullet 2"/>
    <w:basedOn w:val="Normal"/>
    <w:uiPriority w:val="1"/>
    <w:rsid w:val="00AE2AEE"/>
    <w:pPr>
      <w:numPr>
        <w:ilvl w:val="1"/>
        <w:numId w:val="3"/>
      </w:numPr>
      <w:spacing w:after="240"/>
    </w:pPr>
  </w:style>
  <w:style w:type="paragraph" w:styleId="ListBullet3">
    <w:name w:val="List Bullet 3"/>
    <w:basedOn w:val="Normal"/>
    <w:uiPriority w:val="1"/>
    <w:rsid w:val="00AE2AEE"/>
    <w:pPr>
      <w:numPr>
        <w:ilvl w:val="2"/>
        <w:numId w:val="3"/>
      </w:numPr>
      <w:spacing w:after="240"/>
    </w:pPr>
  </w:style>
  <w:style w:type="paragraph" w:styleId="ListBullet4">
    <w:name w:val="List Bullet 4"/>
    <w:basedOn w:val="Normal"/>
    <w:uiPriority w:val="1"/>
    <w:rsid w:val="00AE2AEE"/>
    <w:pPr>
      <w:numPr>
        <w:ilvl w:val="3"/>
        <w:numId w:val="3"/>
      </w:numPr>
      <w:spacing w:after="240"/>
      <w:ind w:left="1587" w:hanging="340"/>
    </w:pPr>
  </w:style>
  <w:style w:type="paragraph" w:styleId="ListBullet5">
    <w:name w:val="List Bullet 5"/>
    <w:basedOn w:val="Normal"/>
    <w:uiPriority w:val="1"/>
    <w:rsid w:val="00AE2AEE"/>
    <w:pPr>
      <w:numPr>
        <w:ilvl w:val="4"/>
        <w:numId w:val="3"/>
      </w:numPr>
      <w:spacing w:after="240"/>
    </w:pPr>
  </w:style>
  <w:style w:type="numbering" w:customStyle="1" w:styleId="ListBullets">
    <w:name w:val="ListBullets"/>
    <w:uiPriority w:val="99"/>
    <w:rsid w:val="00760DB3"/>
    <w:pPr>
      <w:numPr>
        <w:numId w:val="3"/>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4A77F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4"/>
      </w:numPr>
      <w:spacing w:after="240"/>
      <w:ind w:left="0" w:firstLine="0"/>
    </w:p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eastAsia="Calibri" w:hAnsi="Verdana" w:cs="Times New Roman"/>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5"/>
      </w:numPr>
      <w:contextualSpacing/>
    </w:pPr>
  </w:style>
  <w:style w:type="paragraph" w:styleId="ListNumber2">
    <w:name w:val="List Number 2"/>
    <w:basedOn w:val="Normal"/>
    <w:uiPriority w:val="49"/>
    <w:semiHidden/>
    <w:unhideWhenUsed/>
    <w:rsid w:val="00547B5F"/>
    <w:pPr>
      <w:numPr>
        <w:numId w:val="6"/>
      </w:numPr>
      <w:contextualSpacing/>
    </w:pPr>
  </w:style>
  <w:style w:type="paragraph" w:styleId="ListNumber3">
    <w:name w:val="List Number 3"/>
    <w:basedOn w:val="Normal"/>
    <w:uiPriority w:val="49"/>
    <w:unhideWhenUsed/>
    <w:rsid w:val="00547B5F"/>
    <w:pPr>
      <w:numPr>
        <w:numId w:val="7"/>
      </w:numPr>
      <w:contextualSpacing/>
    </w:pPr>
  </w:style>
  <w:style w:type="paragraph" w:styleId="ListNumber4">
    <w:name w:val="List Number 4"/>
    <w:basedOn w:val="Normal"/>
    <w:uiPriority w:val="49"/>
    <w:semiHidden/>
    <w:unhideWhenUsed/>
    <w:rsid w:val="00547B5F"/>
    <w:pPr>
      <w:numPr>
        <w:numId w:val="8"/>
      </w:numPr>
      <w:contextualSpacing/>
    </w:pPr>
  </w:style>
  <w:style w:type="paragraph" w:styleId="ListNumber5">
    <w:name w:val="List Number 5"/>
    <w:basedOn w:val="Normal"/>
    <w:uiPriority w:val="49"/>
    <w:semiHidden/>
    <w:unhideWhenUsed/>
    <w:rsid w:val="00547B5F"/>
    <w:pPr>
      <w:numPr>
        <w:numId w:val="9"/>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color w:val="006283"/>
    </w:rPr>
  </w:style>
  <w:style w:type="table" w:customStyle="1" w:styleId="TableGrid1">
    <w:name w:val="Table Grid1"/>
    <w:basedOn w:val="TableNormal"/>
    <w:next w:val="TableGrid"/>
    <w:uiPriority w:val="39"/>
    <w:rsid w:val="0063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6997"/>
    <w:rPr>
      <w:color w:val="808080"/>
      <w:shd w:val="clear" w:color="auto" w:fill="E6E6E6"/>
    </w:rPr>
  </w:style>
  <w:style w:type="character" w:customStyle="1" w:styleId="UnresolvedMention2">
    <w:name w:val="Unresolved Mention2"/>
    <w:basedOn w:val="DefaultParagraphFont"/>
    <w:uiPriority w:val="99"/>
    <w:semiHidden/>
    <w:unhideWhenUsed/>
    <w:rsid w:val="005C4025"/>
    <w:rPr>
      <w:color w:val="808080"/>
      <w:shd w:val="clear" w:color="auto" w:fill="E6E6E6"/>
    </w:rPr>
  </w:style>
  <w:style w:type="numbering" w:styleId="1ai">
    <w:name w:val="Outline List 1"/>
    <w:basedOn w:val="NoList"/>
    <w:rsid w:val="00463E2D"/>
    <w:pPr>
      <w:numPr>
        <w:numId w:val="10"/>
      </w:numPr>
    </w:pPr>
  </w:style>
  <w:style w:type="character" w:customStyle="1" w:styleId="q4iawc">
    <w:name w:val="q4iawc"/>
    <w:basedOn w:val="DefaultParagraphFont"/>
    <w:rsid w:val="00B72EB1"/>
  </w:style>
  <w:style w:type="character" w:customStyle="1" w:styleId="UnresolvedMention3">
    <w:name w:val="Unresolved Mention3"/>
    <w:basedOn w:val="DefaultParagraphFont"/>
    <w:uiPriority w:val="99"/>
    <w:semiHidden/>
    <w:unhideWhenUsed/>
    <w:rsid w:val="00B72EB1"/>
    <w:rPr>
      <w:color w:val="605E5C"/>
      <w:shd w:val="clear" w:color="auto" w:fill="E1DFDD"/>
    </w:rPr>
  </w:style>
  <w:style w:type="character" w:customStyle="1" w:styleId="ui-provider">
    <w:name w:val="ui-provider"/>
    <w:basedOn w:val="DefaultParagraphFont"/>
    <w:rsid w:val="00077DC5"/>
  </w:style>
  <w:style w:type="character" w:styleId="UnresolvedMention">
    <w:name w:val="Unresolved Mention"/>
    <w:basedOn w:val="DefaultParagraphFont"/>
    <w:uiPriority w:val="99"/>
    <w:semiHidden/>
    <w:unhideWhenUsed/>
    <w:rsid w:val="008C4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igqpi.cv/avaliacao-de-conformidade/certificacao/" TargetMode="External" /><Relationship Id="rId11" Type="http://schemas.openxmlformats.org/officeDocument/2006/relationships/hyperlink" Target="https://www.governo.cv/" TargetMode="External" /><Relationship Id="rId12" Type="http://schemas.openxmlformats.org/officeDocument/2006/relationships/hyperlink" Target="https://boe.incv.cv/" TargetMode="External" /><Relationship Id="rId13" Type="http://schemas.openxmlformats.org/officeDocument/2006/relationships/hyperlink" Target="mailto:benvindo.reis@mice.gov.cv" TargetMode="External" /><Relationship Id="rId14" Type="http://schemas.openxmlformats.org/officeDocument/2006/relationships/hyperlink" Target="mailto:jonica.tavares@mice.gov.c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epingalert.org/en/EnquiryPoint/tbt-nep" TargetMode="External" /><Relationship Id="rId8" Type="http://schemas.openxmlformats.org/officeDocument/2006/relationships/hyperlink" Target="https://igqpi.cv/normalizacao/regras-e-procedimentos-2/" TargetMode="External" /><Relationship Id="rId9" Type="http://schemas.openxmlformats.org/officeDocument/2006/relationships/hyperlink" Target="https://igqpi.cv/normalizacao/acervo-normativo/"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ping.wto.org/en/EnquiryPoint/tbt-nep"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ermaz\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26ae481e-5057-48a1-b819-807198efd60f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B93CE7A-AB61-46C1-A2BA-B693A0AA67E1}">
  <ds:schemaRefs>
    <ds:schemaRef ds:uri="http://schemas.openxmlformats.org/officeDocument/2006/bibliography"/>
  </ds:schemaRefs>
</ds:datastoreItem>
</file>

<file path=customXml/itemProps2.xml><?xml version="1.0" encoding="utf-8"?>
<ds:datastoreItem xmlns:ds="http://schemas.openxmlformats.org/officeDocument/2006/customXml" ds:itemID="{5C14A97D-A531-4FB5-929B-22388E35A58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86</TotalTime>
  <Pages>4</Pages>
  <Words>1568</Words>
  <Characters>8938</Characters>
  <Application>Microsoft Office Word</Application>
  <DocSecurity>0</DocSecurity>
  <Lines>74</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Mermaz, Johann</cp:lastModifiedBy>
  <cp:revision>17</cp:revision>
  <cp:lastPrinted>2017-09-06T09:33:00Z</cp:lastPrinted>
  <dcterms:created xsi:type="dcterms:W3CDTF">2025-08-05T08:38:00Z</dcterms:created>
  <dcterms:modified xsi:type="dcterms:W3CDTF">2025-08-15T13:11:00Z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G/TBT/15.2/N/CPV</vt:lpwstr>
  </property>
  <property fmtid="{D5CDD505-2E9C-101B-9397-08002B2CF9AE}" pid="3" name="TitusGUID">
    <vt:lpwstr>26ae481e-5057-48a1-b819-807198efd60f</vt:lpwstr>
  </property>
  <property fmtid="{D5CDD505-2E9C-101B-9397-08002B2CF9AE}" pid="4" name="WTOCLASSIFICATION">
    <vt:lpwstr>WTO OFFICIAL</vt:lpwstr>
  </property>
</Properties>
</file>