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A71E0" w:rsidRPr="00016333" w:rsidP="002A71E0" w14:paraId="0C0A6216" w14:textId="7A36E8CD">
      <w:pPr>
        <w:pStyle w:val="Title"/>
        <w:tabs>
          <w:tab w:val="left" w:pos="6521"/>
        </w:tabs>
      </w:pPr>
      <w:r>
        <w:t xml:space="preserve">IMPLEMENTATION AND ADMINISTRATION OF THE AGREEMENT ON </w:t>
      </w:r>
      <w:r w:rsidR="00E34515">
        <w:br/>
      </w:r>
      <w:r>
        <w:t>TECHNICAL BARRIERS TO TRADE</w:t>
      </w:r>
    </w:p>
    <w:p w:rsidR="00CD481B" w:rsidRPr="005A1909" w:rsidP="002A71E0" w14:paraId="0561A469" w14:textId="3D109D17">
      <w:pPr>
        <w:pStyle w:val="Title3"/>
      </w:pPr>
      <w:r>
        <w:t>COMMUNICATION FROM COMOROS</w:t>
      </w:r>
    </w:p>
    <w:p w:rsidR="002A71E0" w:rsidRPr="005A1909" w:rsidP="00CD481B" w14:paraId="0DED0F63" w14:textId="77777777">
      <w:pPr>
        <w:spacing w:after="240"/>
      </w:pPr>
      <w:r>
        <w:t xml:space="preserve">The following communication under Article 15.2 of the Agreement on Technical Barriers to Trade, dated 25 June 2026, has been received from the delegation of </w:t>
      </w:r>
      <w:r>
        <w:rPr>
          <w:u w:val="single"/>
        </w:rPr>
        <w:t>Comoros</w:t>
      </w:r>
      <w:r>
        <w:t xml:space="preserve">. </w:t>
      </w:r>
    </w:p>
    <w:p w:rsidR="00CD481B" w:rsidRPr="00392709" w:rsidP="00CD481B" w14:paraId="5A740821" w14:textId="77777777">
      <w:pPr>
        <w:jc w:val="center"/>
        <w:rPr>
          <w:b/>
        </w:rPr>
      </w:pPr>
      <w:r>
        <w:rPr>
          <w:b/>
        </w:rPr>
        <w:t>_______________</w:t>
      </w:r>
    </w:p>
    <w:p w:rsidR="00CD481B" w:rsidP="00CD481B" w14:paraId="3068B88D" w14:textId="77777777"/>
    <w:p w:rsidR="00906997" w:rsidRPr="00906997" w:rsidP="00906997" w14:paraId="3C7CB58A" w14:textId="77777777">
      <w:pPr>
        <w:rPr>
          <w:szCs w:val="20"/>
        </w:rPr>
      </w:pPr>
    </w:p>
    <w:p w:rsidR="00795A4B" w:rsidP="00586E46" w14:paraId="174D5171" w14:textId="77777777">
      <w:pPr>
        <w:pStyle w:val="Heading1"/>
      </w:pPr>
      <w:r>
        <w:t>IMPLEMENTING ACTIONS</w:t>
      </w:r>
    </w:p>
    <w:p w:rsidR="007972BA" w:rsidRPr="005A1909" w:rsidP="00DA350F" w14:paraId="0C3A1B85" w14:textId="06F48039">
      <w:pPr>
        <w:pStyle w:val="BodyText"/>
      </w:pPr>
      <w:r>
        <w:t xml:space="preserve">As part of its notification under Article 15.2 of the Agreement on Technical Barriers to Trade (TBT), Comoros wishes to inform the TBT Committee of </w:t>
      </w:r>
      <w:r w:rsidR="0021487E">
        <w:t xml:space="preserve">the </w:t>
      </w:r>
      <w:r>
        <w:t>technical regulation, standardization and conformity assessment (testing, inspection, validation, verification, certification, accreditation</w:t>
      </w:r>
      <w:r w:rsidR="0021487E">
        <w:t>, etc.</w:t>
      </w:r>
      <w:r>
        <w:t xml:space="preserve">) </w:t>
      </w:r>
      <w:r w:rsidR="0021487E">
        <w:t xml:space="preserve">system </w:t>
      </w:r>
      <w:r>
        <w:t>in force in the country.</w:t>
      </w:r>
    </w:p>
    <w:p w:rsidR="007972BA" w:rsidRPr="005A1909" w:rsidP="00DA350F" w14:paraId="2C3E6B06" w14:textId="1DE344ED">
      <w:pPr>
        <w:pStyle w:val="BodyText"/>
      </w:pPr>
      <w:r>
        <w:t xml:space="preserve">The Foreign Trade Directorate at the Ministry of Economic Affairs, Industry and Investment (MEII) is </w:t>
      </w:r>
      <w:r w:rsidR="007A03AC">
        <w:t>the country's</w:t>
      </w:r>
      <w:r>
        <w:t xml:space="preserve"> official WTO SPS and TBT notification point. The </w:t>
      </w:r>
      <w:r w:rsidR="00E90FD8">
        <w:t>n</w:t>
      </w:r>
      <w:r>
        <w:t xml:space="preserve">ational TBT </w:t>
      </w:r>
      <w:r w:rsidR="00E90FD8">
        <w:t>c</w:t>
      </w:r>
      <w:r>
        <w:t>ommittee is chaired by the Director-General for Economic Affairs and Trade, who is also attached to the MEII.</w:t>
      </w:r>
    </w:p>
    <w:p w:rsidR="007972BA" w:rsidRPr="005A1909" w:rsidP="00DA350F" w14:paraId="719C9760" w14:textId="604CF7AA">
      <w:pPr>
        <w:pStyle w:val="BodyText"/>
      </w:pPr>
      <w:r>
        <w:t>The relevant national legislation relating to the implementation and administration of measures under the TBT Agreement includes, most notably:</w:t>
      </w:r>
    </w:p>
    <w:p w:rsidR="007972BA" w:rsidRPr="005A1909" w:rsidP="00586E46" w14:paraId="1F6821AF" w14:textId="77777777">
      <w:pPr>
        <w:numPr>
          <w:ilvl w:val="0"/>
          <w:numId w:val="11"/>
        </w:numPr>
        <w:spacing w:before="120" w:after="120"/>
      </w:pPr>
      <w:r>
        <w:t>Decree No. 25-125/PR of 15 October 2025 on the creation, mission, organization and operation of the Comorian Standardization and Metrology Office (OCNM);</w:t>
      </w:r>
    </w:p>
    <w:p w:rsidR="007972BA" w:rsidRPr="005A1909" w:rsidP="00586E46" w14:paraId="78E0E7F3" w14:textId="0ADC25D0">
      <w:pPr>
        <w:numPr>
          <w:ilvl w:val="0"/>
          <w:numId w:val="11"/>
        </w:numPr>
        <w:spacing w:before="120" w:after="120"/>
      </w:pPr>
      <w:r>
        <w:t xml:space="preserve">Law No. 95-009 of 20 June 1995 on the creation, organization and operation of the National </w:t>
      </w:r>
      <w:r w:rsidR="002343D7">
        <w:t xml:space="preserve">Research </w:t>
      </w:r>
      <w:r>
        <w:t>Institute for Agriculture, Fisheries and the Environment (INRAPE);</w:t>
      </w:r>
    </w:p>
    <w:p w:rsidR="007972BA" w:rsidRPr="005A1909" w:rsidP="00586E46" w14:paraId="672F4A03" w14:textId="77777777">
      <w:pPr>
        <w:numPr>
          <w:ilvl w:val="0"/>
          <w:numId w:val="11"/>
        </w:numPr>
        <w:spacing w:before="120" w:after="120"/>
      </w:pPr>
      <w:r>
        <w:t>Law No. 94-018 of 22 June 1994 establishing the Framework Law on the Environment, as amended by Law No. 95-007 of 19 June 1995;</w:t>
      </w:r>
    </w:p>
    <w:p w:rsidR="007972BA" w:rsidRPr="005A1909" w:rsidP="00586E46" w14:paraId="1C37554B" w14:textId="77777777">
      <w:pPr>
        <w:numPr>
          <w:ilvl w:val="0"/>
          <w:numId w:val="11"/>
        </w:numPr>
        <w:spacing w:before="120" w:after="120"/>
      </w:pPr>
      <w:r>
        <w:t>Decree No. 15-05/PR establishing the National Fishery Product Quality Control and Certification Office (ONCQCPH);</w:t>
      </w:r>
    </w:p>
    <w:p w:rsidR="007972BA" w:rsidRPr="005A1909" w:rsidP="00586E46" w14:paraId="11CFEFEC" w14:textId="03BAE0C5">
      <w:pPr>
        <w:numPr>
          <w:ilvl w:val="0"/>
          <w:numId w:val="11"/>
        </w:numPr>
        <w:spacing w:before="120" w:after="120"/>
      </w:pPr>
      <w:r>
        <w:t xml:space="preserve">Order No. 14/086/MPEEIA and </w:t>
      </w:r>
      <w:r w:rsidR="00F9636F">
        <w:t xml:space="preserve">Order No. </w:t>
      </w:r>
      <w:r>
        <w:t>12/089/MFEBICEP on the adoption and application of the Codex Alimentarius sanitary and phytosanitary standards;</w:t>
      </w:r>
    </w:p>
    <w:p w:rsidR="007972BA" w:rsidRPr="005A1909" w:rsidP="00586E46" w14:paraId="7133E3C2" w14:textId="77777777">
      <w:pPr>
        <w:numPr>
          <w:ilvl w:val="0"/>
          <w:numId w:val="11"/>
        </w:numPr>
        <w:spacing w:before="120" w:after="120"/>
      </w:pPr>
      <w:r>
        <w:t>Order No. 011/004 of 7 April 2011 designating the focal points for non-tariff barriers in the COMESA-EAC-SADC Tripartite Free Trade Area;</w:t>
      </w:r>
    </w:p>
    <w:p w:rsidR="007972BA" w:rsidRPr="005A1909" w:rsidP="00586E46" w14:paraId="6EB57E10" w14:textId="5D27FD54">
      <w:pPr>
        <w:numPr>
          <w:ilvl w:val="0"/>
          <w:numId w:val="11"/>
        </w:numPr>
        <w:spacing w:before="120" w:after="120"/>
      </w:pPr>
      <w:r>
        <w:t xml:space="preserve">Order No. 11/02/MRPECE of 3 April 2011 establishing the National Follow-Up Committee </w:t>
      </w:r>
      <w:r w:rsidR="00F9636F">
        <w:t>for</w:t>
      </w:r>
      <w:r>
        <w:t xml:space="preserve"> the non-tariff barrier removal process;</w:t>
      </w:r>
    </w:p>
    <w:p w:rsidR="007972BA" w:rsidRPr="005A1909" w:rsidP="00586E46" w14:paraId="43B21DEE" w14:textId="77777777">
      <w:pPr>
        <w:numPr>
          <w:ilvl w:val="0"/>
          <w:numId w:val="11"/>
        </w:numPr>
        <w:spacing w:before="120" w:after="120"/>
      </w:pPr>
      <w:r>
        <w:t>Order No. 19 04 I MEIEIETAPPG/CAB on the structure of the WTO National Committee on Technical Barriers to Trade; and</w:t>
      </w:r>
    </w:p>
    <w:p w:rsidR="007972BA" w:rsidRPr="005A1909" w:rsidP="00586E46" w14:paraId="2332FF84" w14:textId="77777777">
      <w:pPr>
        <w:numPr>
          <w:ilvl w:val="0"/>
          <w:numId w:val="11"/>
        </w:numPr>
        <w:spacing w:before="120" w:after="120"/>
      </w:pPr>
      <w:r>
        <w:t>Order No. 18 016/VP-MEEIATIPAF/CAB designating a WTO TBT national enquiry point.</w:t>
      </w:r>
    </w:p>
    <w:p w:rsidR="007972BA" w:rsidRPr="005A1909" w:rsidP="00DA350F" w14:paraId="76812C70" w14:textId="77777777">
      <w:pPr>
        <w:pStyle w:val="BodyText"/>
      </w:pPr>
      <w:r>
        <w:t>The Law on Foreign Trade does not contain any elements specific to technical barriers to trade.</w:t>
      </w:r>
    </w:p>
    <w:p w:rsidR="007972BA" w:rsidRPr="005A1909" w:rsidP="00DA350F" w14:paraId="5492BB73" w14:textId="5571F9D7">
      <w:pPr>
        <w:pStyle w:val="BodyText"/>
      </w:pPr>
      <w:r>
        <w:t xml:space="preserve">The </w:t>
      </w:r>
      <w:r w:rsidR="005E56B6">
        <w:t>n</w:t>
      </w:r>
      <w:r>
        <w:t xml:space="preserve">ational </w:t>
      </w:r>
      <w:r w:rsidR="005E56B6">
        <w:t>q</w:t>
      </w:r>
      <w:r>
        <w:t xml:space="preserve">uality </w:t>
      </w:r>
      <w:r w:rsidR="005E56B6">
        <w:t>p</w:t>
      </w:r>
      <w:r>
        <w:t xml:space="preserve">olicy, approved in 2021, is the reference document for quality. It provides for the progressive development of all components of the national quality infrastructure. The </w:t>
      </w:r>
      <w:r w:rsidR="00C625C8">
        <w:t>policy</w:t>
      </w:r>
      <w:r>
        <w:t xml:space="preserve"> </w:t>
      </w:r>
      <w:r>
        <w:t>most notably recommends the review and updating of certain existing legislative and regulatory texts, including Decree No. 99-087/CE.</w:t>
      </w:r>
    </w:p>
    <w:p w:rsidR="007972BA" w:rsidRPr="005A1909" w:rsidP="00DA350F" w14:paraId="1C2E00DF" w14:textId="4D8ABDAC">
      <w:pPr>
        <w:pStyle w:val="BodyText"/>
      </w:pPr>
      <w:r>
        <w:t xml:space="preserve">Comoros is currently </w:t>
      </w:r>
      <w:r w:rsidR="005405F4">
        <w:t>reviewing</w:t>
      </w:r>
      <w:r>
        <w:t xml:space="preserve"> a draft law on quality, standardization, metrology, accreditation, certification and technical regulations, </w:t>
      </w:r>
      <w:r w:rsidR="005405F4">
        <w:t xml:space="preserve">which </w:t>
      </w:r>
      <w:r>
        <w:t>establish</w:t>
      </w:r>
      <w:r w:rsidR="005405F4">
        <w:t>es</w:t>
      </w:r>
      <w:r>
        <w:t xml:space="preserve"> the Comorian Standardization, Metrology and </w:t>
      </w:r>
      <w:r w:rsidR="003D3361">
        <w:t>Quality</w:t>
      </w:r>
      <w:r>
        <w:t xml:space="preserve"> Agency (ACoNorM).</w:t>
      </w:r>
    </w:p>
    <w:p w:rsidR="007972BA" w:rsidRPr="007972BA" w:rsidP="00586E46" w14:paraId="2BE4398A" w14:textId="77777777">
      <w:pPr>
        <w:pStyle w:val="Heading1"/>
        <w:numPr>
          <w:ilvl w:val="1"/>
          <w:numId w:val="12"/>
        </w:numPr>
      </w:pPr>
      <w:r>
        <w:rPr>
          <w:caps w:val="0"/>
        </w:rPr>
        <w:t>Technical regulations</w:t>
      </w:r>
    </w:p>
    <w:p w:rsidR="007972BA" w:rsidRPr="005A1909" w:rsidP="0076348E" w14:paraId="6D802465" w14:textId="49DB06CE">
      <w:pPr>
        <w:pStyle w:val="BodyText"/>
      </w:pPr>
      <w:r>
        <w:t>Government departments, including ministries such as the MEII, the Ministry of Agriculture and Fisheries, the Ministry of the Environment and the Ministry of Health, have the power to issue technical regulations in their areas of competence, either through ministerial orders or by proposing new decrees. A decree must be approved by the Council of Ministers and signed by the President, while a ministerial order establishing technical criteria based on a pre-existing decree may be adopted or amended directly.</w:t>
      </w:r>
    </w:p>
    <w:p w:rsidR="007972BA" w:rsidRPr="005A1909" w:rsidP="0076348E" w14:paraId="6801188C" w14:textId="00A1A6BA">
      <w:pPr>
        <w:pStyle w:val="BodyText"/>
      </w:pPr>
      <w:r>
        <w:t xml:space="preserve">The technical regulations </w:t>
      </w:r>
      <w:r w:rsidR="00E5472D">
        <w:t>applicable</w:t>
      </w:r>
      <w:r>
        <w:t xml:space="preserve"> in the Union of the Comoros are covered by </w:t>
      </w:r>
      <w:r>
        <w:t>a number of</w:t>
      </w:r>
      <w:r>
        <w:t xml:space="preserve"> laws, decrees and orders administered by the relevant ministries and agencies. The technical regulations implemented in the country are set out mainly in Articles 126-136 of Law No. 17-005/AU on food legislation in the Union of the Comoros (hereinafter referred to as the "Food Law"). These provisions concern, </w:t>
      </w:r>
      <w:r>
        <w:rPr>
          <w:i/>
          <w:iCs/>
        </w:rPr>
        <w:t>inter alia</w:t>
      </w:r>
      <w:r>
        <w:t>, eggs, milk, and marine and freshwater products.</w:t>
      </w:r>
    </w:p>
    <w:p w:rsidR="007972BA" w:rsidRPr="005A1909" w:rsidP="0076348E" w14:paraId="0D179565" w14:textId="77777777">
      <w:pPr>
        <w:pStyle w:val="BodyText"/>
      </w:pPr>
      <w:r>
        <w:t>Several provisions of the Food Law recognize the capacity of governmental and non-governmental bodies to assess the conformity of goods with the applicable technical regulations.</w:t>
      </w:r>
    </w:p>
    <w:p w:rsidR="007972BA" w:rsidRPr="005A1909" w:rsidP="0076348E" w14:paraId="5CCAF1B2" w14:textId="3962EF03">
      <w:pPr>
        <w:pStyle w:val="BodyText"/>
      </w:pPr>
      <w:r>
        <w:t>All stakeholders are eligible to participate in t</w:t>
      </w:r>
      <w:r w:rsidR="00777C72">
        <w:t>he development of standards and technical regulations. National standards must be developed in accordance with the Agreements of the World Trade Organization (WTO). Foreign stakeholders can participate at any stage of the standard</w:t>
      </w:r>
      <w:r w:rsidR="00FF4B27">
        <w:t>-</w:t>
      </w:r>
      <w:r w:rsidR="00777C72">
        <w:t>development process, in accordance with national needs for expertise. There are no restrictions on the participation of foreign stakeholders with proven expertise.</w:t>
      </w:r>
    </w:p>
    <w:p w:rsidR="007972BA" w:rsidRPr="005A1909" w:rsidP="0076348E" w14:paraId="70A727BB" w14:textId="5F3283A1">
      <w:pPr>
        <w:pStyle w:val="BodyText"/>
      </w:pPr>
      <w:r>
        <w:t xml:space="preserve">A </w:t>
      </w:r>
      <w:r w:rsidR="00E90FD8">
        <w:t>n</w:t>
      </w:r>
      <w:r>
        <w:t xml:space="preserve">ational TBT </w:t>
      </w:r>
      <w:r w:rsidR="00E90FD8">
        <w:t>c</w:t>
      </w:r>
      <w:r>
        <w:t>ommittee was established to coordinate the updating of technical regulations and to follow</w:t>
      </w:r>
      <w:r w:rsidR="00D0342C">
        <w:t xml:space="preserve"> </w:t>
      </w:r>
      <w:r>
        <w:t xml:space="preserve">up on matters relating to technical barriers to trade. It includes representatives from all relevant government agencies as well as civil society, academia and the private sector. The </w:t>
      </w:r>
      <w:r w:rsidR="00E90FD8">
        <w:t>n</w:t>
      </w:r>
      <w:r>
        <w:t xml:space="preserve">ational TBT </w:t>
      </w:r>
      <w:r w:rsidR="00E90FD8">
        <w:t>c</w:t>
      </w:r>
      <w:r>
        <w:t xml:space="preserve">ommittee must be informed of new draft technical regulations and </w:t>
      </w:r>
      <w:r w:rsidR="00D0342C">
        <w:t xml:space="preserve">will </w:t>
      </w:r>
      <w:r>
        <w:t>provide technical comments on their conformity before the</w:t>
      </w:r>
      <w:r w:rsidR="00D0342C">
        <w:t>y are</w:t>
      </w:r>
      <w:r>
        <w:t xml:space="preserve"> notifi</w:t>
      </w:r>
      <w:r w:rsidR="00D0342C">
        <w:t>ed</w:t>
      </w:r>
      <w:r>
        <w:t xml:space="preserve"> to the WTO and </w:t>
      </w:r>
      <w:r w:rsidR="00D0342C">
        <w:t>approved</w:t>
      </w:r>
      <w:r>
        <w:t>.</w:t>
      </w:r>
    </w:p>
    <w:p w:rsidR="007972BA" w:rsidRPr="005A1909" w:rsidP="0076348E" w14:paraId="57AC2A9E" w14:textId="075422B5">
      <w:pPr>
        <w:pStyle w:val="BodyText"/>
      </w:pPr>
      <w:r>
        <w:t xml:space="preserve">The Foreign Trade Directorate, as the </w:t>
      </w:r>
      <w:r w:rsidR="00E90FD8">
        <w:t>n</w:t>
      </w:r>
      <w:r>
        <w:t xml:space="preserve">ational </w:t>
      </w:r>
      <w:r w:rsidR="00E90FD8">
        <w:t>n</w:t>
      </w:r>
      <w:r>
        <w:t xml:space="preserve">otification </w:t>
      </w:r>
      <w:r w:rsidR="00E90FD8">
        <w:t>a</w:t>
      </w:r>
      <w:r>
        <w:t xml:space="preserve">uthority, is responsible for notifications to the WTO. The </w:t>
      </w:r>
      <w:r w:rsidR="00E90FD8">
        <w:t>n</w:t>
      </w:r>
      <w:r>
        <w:t xml:space="preserve">ational TBT </w:t>
      </w:r>
      <w:r w:rsidR="00E90FD8">
        <w:t>c</w:t>
      </w:r>
      <w:r>
        <w:t>ommittee is the government entity responsible for co</w:t>
      </w:r>
      <w:r w:rsidR="00723CB4">
        <w:t>mpiling</w:t>
      </w:r>
      <w:r>
        <w:t xml:space="preserve"> and updating technical regulations.</w:t>
      </w:r>
    </w:p>
    <w:p w:rsidR="007972BA" w:rsidRPr="007972BA" w:rsidP="00586E46" w14:paraId="02EBC8A4" w14:textId="77777777">
      <w:pPr>
        <w:pStyle w:val="Heading1"/>
        <w:numPr>
          <w:ilvl w:val="1"/>
          <w:numId w:val="12"/>
        </w:numPr>
      </w:pPr>
      <w:r>
        <w:rPr>
          <w:caps w:val="0"/>
        </w:rPr>
        <w:t>Standardization</w:t>
      </w:r>
    </w:p>
    <w:p w:rsidR="007972BA" w:rsidRPr="005A1909" w:rsidP="0076348E" w14:paraId="2A7CFBDE" w14:textId="59E0B7D7">
      <w:pPr>
        <w:pStyle w:val="BodyText"/>
      </w:pPr>
      <w:r>
        <w:t>The n</w:t>
      </w:r>
      <w:r w:rsidR="00777C72">
        <w:t xml:space="preserve">ational standardization </w:t>
      </w:r>
      <w:r>
        <w:t xml:space="preserve">process </w:t>
      </w:r>
      <w:r w:rsidR="00777C72">
        <w:t xml:space="preserve">is currently </w:t>
      </w:r>
      <w:r>
        <w:t>under way</w:t>
      </w:r>
      <w:r w:rsidR="00777C72">
        <w:t xml:space="preserve"> within the framework of the national quality policy and the institutional reforms undertaken by the Union of the Comoros.</w:t>
      </w:r>
    </w:p>
    <w:p w:rsidR="007972BA" w:rsidRPr="005A1909" w:rsidP="0076348E" w14:paraId="17D747A6" w14:textId="6B795057">
      <w:pPr>
        <w:pStyle w:val="BodyText"/>
      </w:pPr>
      <w:r>
        <w:t xml:space="preserve">The Comorian Standardization and Metrology Office (OCNM) </w:t>
      </w:r>
      <w:r>
        <w:t>was</w:t>
      </w:r>
      <w:r>
        <w:t xml:space="preserve"> established under Decree No. 25-125/PR of 15 October 2025 by merging the existing functions of standardization and metrology. </w:t>
      </w:r>
      <w:r w:rsidR="00E17B57">
        <w:t>It</w:t>
      </w:r>
      <w:r>
        <w:t xml:space="preserve"> is one of the main institutional instruments </w:t>
      </w:r>
      <w:r w:rsidR="00E17B57">
        <w:t xml:space="preserve">for </w:t>
      </w:r>
      <w:r w:rsidRPr="00E17B57">
        <w:t xml:space="preserve">establishing </w:t>
      </w:r>
      <w:r w:rsidRPr="00E17B57" w:rsidR="00E17B57">
        <w:t xml:space="preserve">a </w:t>
      </w:r>
      <w:r w:rsidRPr="00E17B57">
        <w:t>national quality infrastructure</w:t>
      </w:r>
      <w:r>
        <w:t xml:space="preserve">. Comoros has decided to replace </w:t>
      </w:r>
      <w:r w:rsidRPr="00E17B57" w:rsidR="00E17B57">
        <w:t xml:space="preserve">Decree No. 25-125/PR </w:t>
      </w:r>
      <w:r>
        <w:t xml:space="preserve">with a more comprehensive law that covers all other elements of the quality infrastructure system, including technical regulations. This draft law is currently under consideration and has already been submitted to all stakeholders for consultation. The new draft law seeks to establish the Comorian Standardization, Metrology and Quality Agency (ACoNorM). The mission of the OCNM, and potentially ACoNorM, is to support the development, adoption and dissemination of national standards, promote harmonization with relevant regional and international standards, and contribute to the development of the national metrology system, particularly as regards traceability, measurement reliability, and metrological control support. The OCNM (and the future ACoNorM) should also play a technical coordination role for the administrations concerned, economic operators and other stakeholders, </w:t>
      </w:r>
      <w:r>
        <w:t>in order to</w:t>
      </w:r>
      <w:r>
        <w:t xml:space="preserve"> promote the consistent application of standards, metrological requirements and, where appropriate, product</w:t>
      </w:r>
      <w:r w:rsidR="006F63AF">
        <w:noBreakHyphen/>
      </w:r>
      <w:r>
        <w:t>related technical regulations, as well as market surveillance.</w:t>
      </w:r>
    </w:p>
    <w:p w:rsidR="007972BA" w:rsidRPr="005A1909" w:rsidP="0076348E" w14:paraId="38E4672C" w14:textId="44A7BEB8">
      <w:pPr>
        <w:pStyle w:val="BodyText"/>
      </w:pPr>
      <w:r>
        <w:t>Standardization activities are conducted within a</w:t>
      </w:r>
      <w:r w:rsidR="00F17D84">
        <w:t>n</w:t>
      </w:r>
      <w:r>
        <w:t xml:space="preserve"> </w:t>
      </w:r>
      <w:r w:rsidR="00F17D84">
        <w:t>environment</w:t>
      </w:r>
      <w:r>
        <w:t xml:space="preserve"> open to the participation of domestic stakeholders and, where justified by their expertise, foreign stakeholders. Adopted standards are based on relevant international standards and on standards harmonized at the regional level, including </w:t>
      </w:r>
      <w:r w:rsidR="00B118E7">
        <w:t>within the context of</w:t>
      </w:r>
      <w:r>
        <w:t xml:space="preserve"> </w:t>
      </w:r>
      <w:r w:rsidR="00B118E7">
        <w:t xml:space="preserve">the </w:t>
      </w:r>
      <w:r>
        <w:t>Common Market for Eastern and Southern Africa</w:t>
      </w:r>
      <w:r w:rsidR="00B118E7">
        <w:t xml:space="preserve"> (COMESA)</w:t>
      </w:r>
      <w:r>
        <w:t>.</w:t>
      </w:r>
    </w:p>
    <w:p w:rsidR="007972BA" w:rsidRPr="007972BA" w:rsidP="00586E46" w14:paraId="2D56E1D8" w14:textId="77777777">
      <w:pPr>
        <w:pStyle w:val="Heading1"/>
        <w:numPr>
          <w:ilvl w:val="1"/>
          <w:numId w:val="12"/>
        </w:numPr>
      </w:pPr>
      <w:r>
        <w:rPr>
          <w:caps w:val="0"/>
        </w:rPr>
        <w:t>Conformity Assessment</w:t>
      </w:r>
    </w:p>
    <w:p w:rsidR="007972BA" w:rsidRPr="005A1909" w:rsidP="0076348E" w14:paraId="7922F3A8" w14:textId="77777777">
      <w:pPr>
        <w:pStyle w:val="BodyText"/>
      </w:pPr>
      <w:r>
        <w:t>Conformity assessment in Comoros is carried out by the competent institutions, in accordance with the sectoral missions assigned to them and the texts in force.</w:t>
      </w:r>
    </w:p>
    <w:p w:rsidR="007972BA" w:rsidRPr="005A1909" w:rsidP="0076348E" w14:paraId="4CEA6C37" w14:textId="5D30C613">
      <w:pPr>
        <w:pStyle w:val="BodyText"/>
      </w:pPr>
      <w:r>
        <w:t>With regard to</w:t>
      </w:r>
      <w:r w:rsidR="00777C72">
        <w:t xml:space="preserve"> fishery products, Decree No. 15-05/PR established the National Fishery Product Quality Control and Certification Office (ONCQCPH). This body contributes to the quality control and certification of </w:t>
      </w:r>
      <w:r w:rsidR="00673CBA">
        <w:t>fishery</w:t>
      </w:r>
      <w:r w:rsidR="00777C72">
        <w:t xml:space="preserve"> products.</w:t>
      </w:r>
    </w:p>
    <w:p w:rsidR="007972BA" w:rsidRPr="005A1909" w:rsidP="0076348E" w14:paraId="5846614E" w14:textId="3C46116A">
      <w:pPr>
        <w:pStyle w:val="BodyText"/>
      </w:pPr>
      <w:r>
        <w:t xml:space="preserve">The National </w:t>
      </w:r>
      <w:r w:rsidR="002310BF">
        <w:t xml:space="preserve">Research </w:t>
      </w:r>
      <w:r>
        <w:t xml:space="preserve">Institute for Agriculture, Fisheries and the Environment (INRAPE) </w:t>
      </w:r>
      <w:r w:rsidR="002310BF">
        <w:t xml:space="preserve">was </w:t>
      </w:r>
      <w:r>
        <w:t>established by Law No. 95-009 of 20 June 1995.</w:t>
      </w:r>
    </w:p>
    <w:p w:rsidR="007972BA" w:rsidRPr="005A1909" w:rsidP="0076348E" w14:paraId="1F0FD9AF" w14:textId="77777777">
      <w:pPr>
        <w:pStyle w:val="BodyText"/>
      </w:pPr>
      <w:r>
        <w:t>The Food Law also provides that governmental and non-governmental bodies may assess the conformity of goods with the applicable technical regulations.</w:t>
      </w:r>
    </w:p>
    <w:p w:rsidR="007972BA" w:rsidRPr="005A1909" w:rsidP="0076348E" w14:paraId="3E1EDB14" w14:textId="77777777">
      <w:pPr>
        <w:pStyle w:val="BodyText"/>
      </w:pPr>
      <w:r>
        <w:t>As part of its efforts to strengthen national quality infrastructure, Comoros continues to develop aspects relating to metrology, certification, accreditation and conformity assessment. The draft law on quality, standardization, metrology, accreditation, certification and technical regulations seeks to consolidate this institutional framework.</w:t>
      </w:r>
    </w:p>
    <w:p w:rsidR="007972BA" w:rsidRPr="005A1909" w:rsidP="0076348E" w14:paraId="40C75333" w14:textId="2900F58A">
      <w:pPr>
        <w:pStyle w:val="BodyText"/>
      </w:pPr>
      <w:r>
        <w:t>Through its membership of the Southern African Development Community (SADC), Comoros would be serviced by the SADC Accreditation Services (SADCAS)</w:t>
      </w:r>
      <w:r w:rsidR="00C16205">
        <w:t>; SADCAS</w:t>
      </w:r>
      <w:r>
        <w:t xml:space="preserve"> is a full member of IAF and ILAC. Comoros also plans to join the African Accreditation Cooperation (AFRAC).</w:t>
      </w:r>
    </w:p>
    <w:p w:rsidR="007E447B" w:rsidP="00D92221" w14:paraId="39CFA990" w14:textId="77777777">
      <w:pPr>
        <w:pStyle w:val="Heading1"/>
      </w:pPr>
      <w:r>
        <w:t>Publication of a notice</w:t>
      </w:r>
    </w:p>
    <w:p w:rsidR="007E447B" w:rsidRPr="005A1909" w:rsidP="00DA350F" w14:paraId="6EA8D193" w14:textId="77777777">
      <w:pPr>
        <w:pStyle w:val="BodyText"/>
      </w:pPr>
      <w:r>
        <w:t>Draft technical regulations are circulated to interested parties for comment and consultation before final validation.</w:t>
      </w:r>
    </w:p>
    <w:p w:rsidR="007E447B" w:rsidRPr="005A1909" w:rsidP="00DA350F" w14:paraId="5D7CF38E" w14:textId="6AA62F73">
      <w:pPr>
        <w:pStyle w:val="BodyText"/>
      </w:pPr>
      <w:r>
        <w:t>National validation workshops may also be organized so that stakeholders can comment on draft technical regulations.</w:t>
      </w:r>
    </w:p>
    <w:p w:rsidR="007E447B" w:rsidRPr="005A1909" w:rsidP="00DA350F" w14:paraId="1D9871DE" w14:textId="44121E4A">
      <w:pPr>
        <w:pStyle w:val="BodyText"/>
      </w:pPr>
      <w:r>
        <w:t xml:space="preserve">The TBT enquiry point, with the help and support of the national TBT </w:t>
      </w:r>
      <w:r w:rsidR="00E90FD8">
        <w:t>c</w:t>
      </w:r>
      <w:r>
        <w:t>ommittee, reviews all draft measures before final adoption.</w:t>
      </w:r>
    </w:p>
    <w:p w:rsidR="007E447B" w:rsidRPr="005A1909" w:rsidP="00DA350F" w14:paraId="7C551EF9" w14:textId="77777777">
      <w:pPr>
        <w:pStyle w:val="BodyText"/>
      </w:pPr>
      <w:r>
        <w:t>Comoros also plans to develop guidance for the competent authorities on minimum time frames for public consultation on draft technical regulations, particularly those that might affect trade and investment.</w:t>
      </w:r>
    </w:p>
    <w:p w:rsidR="00686480" w:rsidRPr="00686480" w:rsidP="00D92221" w14:paraId="689221AD" w14:textId="77777777">
      <w:pPr>
        <w:pStyle w:val="Heading1"/>
        <w:rPr>
          <w:w w:val="105"/>
        </w:rPr>
      </w:pPr>
      <w:r>
        <w:t>Comments</w:t>
      </w:r>
    </w:p>
    <w:p w:rsidR="003D0750" w:rsidRPr="005A1909" w:rsidP="00DA350F" w14:paraId="4922E75A" w14:textId="77777777">
      <w:pPr>
        <w:pStyle w:val="BodyText"/>
      </w:pPr>
      <w:r>
        <w:t>Draft technical regulations are subject to consultation by interested parties for a period of at least 60 days before final validation.</w:t>
      </w:r>
    </w:p>
    <w:p w:rsidR="003D0750" w:rsidP="00D92221" w14:paraId="5B124B0D" w14:textId="77777777">
      <w:pPr>
        <w:pStyle w:val="Heading1"/>
      </w:pPr>
      <w:r>
        <w:t>Publication of final texts</w:t>
      </w:r>
    </w:p>
    <w:p w:rsidR="003D0750" w:rsidRPr="005A1909" w:rsidP="00DA350F" w14:paraId="67D60604" w14:textId="77777777">
      <w:pPr>
        <w:pStyle w:val="BodyText"/>
      </w:pPr>
      <w:r>
        <w:t>All official acts are published in the Official Journal and on its website. The Official Journal Service of the Secretariat-General of the Government is responsible for the publication of the final versions of adopted technical regulations.</w:t>
      </w:r>
    </w:p>
    <w:p w:rsidR="003D0750" w:rsidRPr="005A1909" w:rsidP="00DA350F" w14:paraId="18B1AE8F" w14:textId="13DB2582">
      <w:pPr>
        <w:pStyle w:val="BodyText"/>
      </w:pPr>
      <w:r>
        <w:t xml:space="preserve">All information related to technical regulations can be found at: </w:t>
      </w:r>
      <w:hyperlink r:id="rId7" w:history="1">
        <w:r w:rsidRPr="00F610BA" w:rsidR="00923BFF">
          <w:rPr>
            <w:rStyle w:val="Hyperlink"/>
          </w:rPr>
          <w:t>www.mung5anyo.km</w:t>
        </w:r>
      </w:hyperlink>
      <w:r>
        <w:t>.</w:t>
      </w:r>
    </w:p>
    <w:p w:rsidR="00195DA8" w:rsidP="00D92221" w14:paraId="73825506" w14:textId="77777777">
      <w:pPr>
        <w:pStyle w:val="Heading1"/>
      </w:pPr>
      <w:bookmarkStart w:id="0" w:name="_Hlk152148747"/>
      <w:r>
        <w:t>Contact information</w:t>
      </w:r>
      <w:r>
        <w:rPr>
          <w:rStyle w:val="FootnoteReference"/>
        </w:rPr>
        <w:footnoteReference w:id="2"/>
      </w:r>
    </w:p>
    <w:p w:rsidR="00686480" w:rsidRPr="008B7F72" w:rsidP="006C3955" w14:paraId="6A04C668" w14:textId="77777777">
      <w:pPr>
        <w:tabs>
          <w:tab w:val="left" w:pos="3060"/>
        </w:tabs>
        <w:spacing w:after="120"/>
        <w:rPr>
          <w:b/>
          <w:bCs/>
        </w:rPr>
      </w:pPr>
      <w:r>
        <w:rPr>
          <w:b/>
        </w:rPr>
        <w:t>(i) Enquiry point(s)</w:t>
      </w:r>
      <w:r>
        <w:rPr>
          <w:b/>
          <w:color w:val="365F91" w:themeColor="accent1" w:themeShade="BF"/>
        </w:rPr>
        <w:tab/>
      </w:r>
    </w:p>
    <w:p w:rsidR="004A266B" w:rsidRPr="00686480" w:rsidP="00DA350F" w14:paraId="543C6E1B" w14:textId="77777777">
      <w:pPr>
        <w:jc w:val="left"/>
      </w:pPr>
      <w:r>
        <w:t>Mr Boinali Mohamed</w:t>
      </w:r>
    </w:p>
    <w:p w:rsidR="004A266B" w:rsidRPr="005A1909" w:rsidP="00DA350F" w14:paraId="2D58D1FC" w14:textId="77777777">
      <w:pPr>
        <w:jc w:val="left"/>
      </w:pPr>
      <w:r>
        <w:t>Head of the Standardization and Quality Service at the Industry Directorate</w:t>
      </w:r>
    </w:p>
    <w:p w:rsidR="004A266B" w:rsidRPr="005A1909" w:rsidP="00DA350F" w14:paraId="437C71A9" w14:textId="77777777">
      <w:pPr>
        <w:jc w:val="left"/>
      </w:pPr>
      <w:r>
        <w:t>Ministry of Economic Affairs, Investment and Industry, responsible for regional integration</w:t>
      </w:r>
    </w:p>
    <w:p w:rsidR="004A266B" w:rsidRPr="005A1909" w:rsidP="00DA350F" w14:paraId="18213451" w14:textId="77777777">
      <w:pPr>
        <w:jc w:val="left"/>
      </w:pPr>
      <w:r>
        <w:t>Tel.: (+269) 3350974/4960685</w:t>
      </w:r>
    </w:p>
    <w:p w:rsidR="004A266B" w:rsidRPr="000106A5" w:rsidP="00DA350F" w14:paraId="4CE0CBAF" w14:textId="77777777">
      <w:pPr>
        <w:jc w:val="left"/>
      </w:pPr>
      <w:r>
        <w:t xml:space="preserve">Email: </w:t>
      </w:r>
      <w:hyperlink r:id="rId8" w:history="1">
        <w:r>
          <w:rPr>
            <w:color w:val="0000FF"/>
            <w:u w:val="single"/>
          </w:rPr>
          <w:t>zaboinamed2014@gmail.com</w:t>
        </w:r>
      </w:hyperlink>
    </w:p>
    <w:p w:rsidR="00DA350F" w:rsidRPr="00AD4125" w:rsidP="00DA350F" w14:paraId="66F2E49E" w14:textId="77777777">
      <w:pPr>
        <w:jc w:val="left"/>
      </w:pPr>
    </w:p>
    <w:bookmarkEnd w:id="0"/>
    <w:p w:rsidR="00686480" w:rsidRPr="005A1909" w:rsidP="00686480" w14:paraId="0F397EC2" w14:textId="77777777">
      <w:pPr>
        <w:spacing w:after="120"/>
        <w:rPr>
          <w:b/>
          <w:bCs/>
        </w:rPr>
      </w:pPr>
      <w:r>
        <w:rPr>
          <w:b/>
        </w:rPr>
        <w:t>(ii) Notification authority</w:t>
      </w:r>
    </w:p>
    <w:p w:rsidR="00C408D1" w:rsidRPr="005A1909" w:rsidP="003A0337" w14:paraId="2BC08788" w14:textId="094E2C1C">
      <w:pPr>
        <w:spacing w:after="240"/>
        <w:jc w:val="left"/>
      </w:pPr>
      <w:r>
        <w:t>Same as enquiry point</w:t>
      </w:r>
      <w:r w:rsidR="00923BFF">
        <w:t>.</w:t>
      </w:r>
    </w:p>
    <w:p w:rsidR="003A0337" w:rsidRPr="005A1909" w:rsidP="003A0337" w14:paraId="141C48F2" w14:textId="77777777">
      <w:pPr>
        <w:jc w:val="left"/>
        <w:rPr>
          <w:lang w:val="fr-CH"/>
        </w:rPr>
      </w:pPr>
    </w:p>
    <w:p w:rsidR="00686480" w:rsidRPr="00686480" w:rsidP="00D92221" w14:paraId="1C272BE8" w14:textId="77777777">
      <w:pPr>
        <w:pStyle w:val="Heading1"/>
      </w:pPr>
      <w:r>
        <w:t>Additional information</w:t>
      </w:r>
    </w:p>
    <w:p w:rsidR="009A0597" w:rsidRPr="005A1909" w:rsidP="00DA350F" w14:paraId="25CC1B68" w14:textId="77777777">
      <w:pPr>
        <w:pStyle w:val="BodyText"/>
      </w:pPr>
      <w:r>
        <w:t>Comoros has not yet communicated its acceptance of the Code of Good Practice for the Preparation, Adoption and Application of Standards. This will be done once the decision has been made by the country's standardization authority.</w:t>
      </w:r>
    </w:p>
    <w:p w:rsidR="009A0597" w:rsidRPr="005A1909" w:rsidP="00DA350F" w14:paraId="22441A22" w14:textId="77777777">
      <w:pPr>
        <w:pStyle w:val="BodyText"/>
      </w:pPr>
      <w:r>
        <w:t>Comoros is not currently a member of the International Organization for Standardization (ISO), the International Organization of Legal Metrology (OIML) or the African Organisation for Standardization (ARSO). It is, however, a correspondent member of the Standards and Metrology Institute for Islamic Countries (SMIIC).</w:t>
      </w:r>
    </w:p>
    <w:p w:rsidR="009A0597" w:rsidRPr="005A1909" w:rsidP="00DA350F" w14:paraId="29AB4A6B" w14:textId="3044BDA3">
      <w:pPr>
        <w:pStyle w:val="BodyText"/>
      </w:pPr>
      <w:r>
        <w:t>Comoros participates in regional processes to harmonize standards and reduce non-tariff barriers, particularly within the framework of COMESA, the SADC (</w:t>
      </w:r>
      <w:r w:rsidR="00913EA6">
        <w:t xml:space="preserve">despite being </w:t>
      </w:r>
      <w:r>
        <w:t>temporarily suspended</w:t>
      </w:r>
      <w:r>
        <w:t xml:space="preserve"> from this forum) and the COMESA-EAC-SADC Tripartite.</w:t>
      </w:r>
    </w:p>
    <w:p w:rsidR="00A42354" w:rsidRPr="00AD4125" w:rsidP="00A42354" w14:paraId="2B52A9F6" w14:textId="77777777">
      <w:pPr>
        <w:jc w:val="left"/>
      </w:pPr>
    </w:p>
    <w:p w:rsidR="00A42354" w:rsidRPr="00A42354" w:rsidP="00A42354" w14:paraId="1D4F19F6" w14:textId="77777777">
      <w:pPr>
        <w:jc w:val="center"/>
        <w:rPr>
          <w:bCs/>
        </w:rPr>
      </w:pPr>
      <w:r>
        <w:t>__________</w:t>
      </w:r>
    </w:p>
    <w:sectPr w:rsidSect="00BE5C94">
      <w:headerReference w:type="even" r:id="rId9"/>
      <w:headerReference w:type="default" r:id="rId10"/>
      <w:footerReference w:type="even" r:id="rId11"/>
      <w:footerReference w:type="default" r:id="rId12"/>
      <w:head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FB7CC7" w:rsidP="00FB7CC7" w14:paraId="1508301C"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FB7CC7" w:rsidP="00FB7CC7" w14:paraId="5374B856" w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1F3D" w:rsidP="00ED54E0" w14:paraId="16E20AB1" w14:textId="77777777">
      <w:r>
        <w:separator/>
      </w:r>
    </w:p>
  </w:footnote>
  <w:footnote w:type="continuationSeparator" w:id="1">
    <w:p w:rsidR="00881F3D" w:rsidP="00ED54E0" w14:paraId="1D318B23" w14:textId="77777777">
      <w:r>
        <w:continuationSeparator/>
      </w:r>
    </w:p>
  </w:footnote>
  <w:footnote w:id="2">
    <w:p w:rsidR="001E7870" w:rsidRPr="001E7870" w14:paraId="4B62B0C8" w14:textId="77777777">
      <w:pPr>
        <w:pStyle w:val="FootnoteText"/>
      </w:pPr>
      <w:r>
        <w:rPr>
          <w:rStyle w:val="FootnoteReference"/>
        </w:rPr>
        <w:footnoteRef/>
      </w:r>
      <w:r>
        <w:t xml:space="preserve"> </w:t>
      </w:r>
      <w:r>
        <w:rPr>
          <w:rStyle w:val="ui-provider"/>
        </w:rPr>
        <w:t xml:space="preserve">Enquiry point and notification authority contact details may subsequently be updated after the circulation of this notification. The latest information is available on </w:t>
      </w:r>
      <w:hyperlink r:id="rId1" w:history="1">
        <w:r>
          <w:rPr>
            <w:rStyle w:val="Hyperlink"/>
            <w:color w:val="0000FF"/>
          </w:rPr>
          <w:t>ePing</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CC7" w:rsidRPr="007C502F" w:rsidP="00FB7CC7" w14:paraId="4F652A0E" w14:textId="25BAC963">
    <w:pPr>
      <w:pStyle w:val="Header"/>
      <w:pBdr>
        <w:bottom w:val="single" w:sz="4" w:space="1" w:color="auto"/>
      </w:pBdr>
      <w:tabs>
        <w:tab w:val="clear" w:pos="4513"/>
        <w:tab w:val="clear" w:pos="9027"/>
      </w:tabs>
      <w:jc w:val="center"/>
      <w:rPr>
        <w:bCs/>
      </w:rPr>
    </w:pPr>
    <w:r>
      <w:t>G/TBT/15.2/N/COM</w:t>
    </w:r>
  </w:p>
  <w:p w:rsidR="00FB7CC7" w:rsidRPr="007C502F" w:rsidP="00FB7CC7" w14:paraId="770B3812" w14:textId="77777777">
    <w:pPr>
      <w:pStyle w:val="Header"/>
      <w:pBdr>
        <w:bottom w:val="single" w:sz="4" w:space="1" w:color="auto"/>
      </w:pBdr>
      <w:tabs>
        <w:tab w:val="clear" w:pos="4513"/>
        <w:tab w:val="clear" w:pos="9027"/>
      </w:tabs>
      <w:jc w:val="center"/>
      <w:rPr>
        <w:bCs/>
      </w:rPr>
    </w:pPr>
  </w:p>
  <w:p w:rsidR="00FB7CC7" w:rsidRPr="00FB7CC7" w:rsidP="00FB7CC7" w14:paraId="0472F457" w14:textId="77777777">
    <w:pPr>
      <w:pStyle w:val="Header"/>
      <w:pBdr>
        <w:bottom w:val="single" w:sz="4" w:space="1" w:color="auto"/>
      </w:pBdr>
      <w:tabs>
        <w:tab w:val="clear" w:pos="4513"/>
        <w:tab w:val="clear" w:pos="9027"/>
      </w:tabs>
      <w:jc w:val="center"/>
    </w:pPr>
    <w:r>
      <w:t xml:space="preserve">- </w:t>
    </w:r>
    <w:r w:rsidRPr="00FB7CC7">
      <w:fldChar w:fldCharType="begin"/>
    </w:r>
    <w:r w:rsidRPr="00FB7CC7">
      <w:instrText xml:space="preserve"> PAGE </w:instrText>
    </w:r>
    <w:r w:rsidRPr="00FB7CC7">
      <w:fldChar w:fldCharType="separate"/>
    </w:r>
    <w:r w:rsidRPr="00FB7CC7">
      <w:t>4</w:t>
    </w:r>
    <w:r w:rsidRPr="00FB7CC7">
      <w:fldChar w:fldCharType="end"/>
    </w:r>
    <w:r>
      <w:t xml:space="preserve"> -</w:t>
    </w:r>
  </w:p>
  <w:p w:rsidR="00544326" w:rsidRPr="00FB7CC7" w:rsidP="00FB7CC7" w14:paraId="4914735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CC7" w:rsidRPr="00FB7CC7" w:rsidP="00FB7CC7" w14:paraId="354934AF" w14:textId="370DF939">
    <w:pPr>
      <w:pStyle w:val="Header"/>
      <w:pBdr>
        <w:bottom w:val="single" w:sz="4" w:space="1" w:color="auto"/>
      </w:pBdr>
      <w:tabs>
        <w:tab w:val="clear" w:pos="4513"/>
        <w:tab w:val="clear" w:pos="9027"/>
      </w:tabs>
      <w:jc w:val="center"/>
    </w:pPr>
    <w:r>
      <w:t>G/TBT/15.2/N/COM</w:t>
    </w:r>
  </w:p>
  <w:p w:rsidR="00FB7CC7" w:rsidRPr="00FB7CC7" w:rsidP="00FB7CC7" w14:paraId="5476FA7C" w14:textId="77777777">
    <w:pPr>
      <w:pStyle w:val="Header"/>
      <w:pBdr>
        <w:bottom w:val="single" w:sz="4" w:space="1" w:color="auto"/>
      </w:pBdr>
      <w:tabs>
        <w:tab w:val="clear" w:pos="4513"/>
        <w:tab w:val="clear" w:pos="9027"/>
      </w:tabs>
      <w:jc w:val="center"/>
    </w:pPr>
  </w:p>
  <w:p w:rsidR="00FB7CC7" w:rsidRPr="00FB7CC7" w:rsidP="00FB7CC7" w14:paraId="737449E0" w14:textId="77777777">
    <w:pPr>
      <w:pStyle w:val="Header"/>
      <w:pBdr>
        <w:bottom w:val="single" w:sz="4" w:space="1" w:color="auto"/>
      </w:pBdr>
      <w:tabs>
        <w:tab w:val="clear" w:pos="4513"/>
        <w:tab w:val="clear" w:pos="9027"/>
      </w:tabs>
      <w:jc w:val="center"/>
    </w:pPr>
    <w:r>
      <w:t xml:space="preserve">- </w:t>
    </w:r>
    <w:r w:rsidRPr="00FB7CC7">
      <w:fldChar w:fldCharType="begin"/>
    </w:r>
    <w:r w:rsidRPr="00FB7CC7">
      <w:instrText xml:space="preserve"> PAGE </w:instrText>
    </w:r>
    <w:r w:rsidRPr="00FB7CC7">
      <w:fldChar w:fldCharType="separate"/>
    </w:r>
    <w:r w:rsidRPr="00FB7CC7">
      <w:t>3</w:t>
    </w:r>
    <w:r w:rsidRPr="00FB7CC7">
      <w:fldChar w:fldCharType="end"/>
    </w:r>
    <w:r>
      <w:t xml:space="preserve"> -</w:t>
    </w:r>
  </w:p>
  <w:p w:rsidR="00544326" w:rsidRPr="00FB7CC7" w:rsidP="00FB7CC7" w14:paraId="4F43069E"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890FE68" w14:textId="77777777" w:rsidTr="00544326">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182B84" w:rsidP="00425DC5" w14:paraId="3F25219D" w14:textId="77777777">
          <w:pPr>
            <w:rPr>
              <w:noProof/>
            </w:rPr>
          </w:pPr>
          <w:bookmarkStart w:id="1" w:name="bmkRestricted" w:colFirst="1" w:colLast="1"/>
        </w:p>
      </w:tc>
      <w:tc>
        <w:tcPr>
          <w:tcW w:w="5448" w:type="dxa"/>
          <w:gridSpan w:val="2"/>
          <w:shd w:val="clear" w:color="auto" w:fill="FFFFFF"/>
          <w:tcMar>
            <w:left w:w="108" w:type="dxa"/>
            <w:right w:w="108" w:type="dxa"/>
          </w:tcMar>
          <w:vAlign w:val="center"/>
        </w:tcPr>
        <w:p w:rsidR="00ED54E0" w:rsidRPr="00182B84" w:rsidP="00425DC5" w14:paraId="0E87533D" w14:textId="77777777">
          <w:pPr>
            <w:jc w:val="right"/>
            <w:rPr>
              <w:b/>
              <w:color w:val="FF0000"/>
              <w:szCs w:val="16"/>
            </w:rPr>
          </w:pPr>
          <w:r>
            <w:rPr>
              <w:b/>
              <w:color w:val="FF0000"/>
            </w:rPr>
            <w:t xml:space="preserve"> </w:t>
          </w:r>
        </w:p>
      </w:tc>
    </w:tr>
    <w:bookmarkEnd w:id="1"/>
    <w:tr w14:paraId="72687C1E" w14:textId="77777777" w:rsidTr="00544326">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182B84" w:rsidP="00425DC5" w14:paraId="6D7CE546" w14:textId="45644EB2">
          <w:pPr>
            <w:jc w:val="left"/>
          </w:pPr>
          <w:r w:rsidRPr="00182B84">
            <w:rPr>
              <w:noProof/>
              <w:lang w:val="en-US"/>
            </w:rPr>
            <w:drawing>
              <wp:inline distT="0" distB="0" distL="0" distR="0">
                <wp:extent cx="2398395" cy="716280"/>
                <wp:effectExtent l="0" t="0" r="1905" b="762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182B84" w:rsidP="00425DC5" w14:paraId="6B749441" w14:textId="77777777">
          <w:pPr>
            <w:jc w:val="right"/>
            <w:rPr>
              <w:b/>
              <w:szCs w:val="16"/>
            </w:rPr>
          </w:pPr>
        </w:p>
      </w:tc>
    </w:tr>
    <w:tr w14:paraId="76878708" w14:textId="77777777" w:rsidTr="00544326">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182B84" w:rsidP="00425DC5" w14:paraId="2D6E8A81" w14:textId="77777777">
          <w:pPr>
            <w:jc w:val="left"/>
            <w:rPr>
              <w:noProof/>
              <w:lang w:eastAsia="en-GB"/>
            </w:rPr>
          </w:pPr>
        </w:p>
      </w:tc>
      <w:tc>
        <w:tcPr>
          <w:tcW w:w="5448" w:type="dxa"/>
          <w:gridSpan w:val="2"/>
          <w:shd w:val="clear" w:color="auto" w:fill="FFFFFF"/>
          <w:tcMar>
            <w:left w:w="108" w:type="dxa"/>
            <w:right w:w="108" w:type="dxa"/>
          </w:tcMar>
        </w:tcPr>
        <w:p w:rsidR="00FB7CC7" w:rsidP="00425DC5" w14:paraId="04C4373B" w14:textId="77777777">
          <w:pPr>
            <w:jc w:val="right"/>
            <w:rPr>
              <w:b/>
              <w:szCs w:val="16"/>
            </w:rPr>
          </w:pPr>
          <w:bookmarkStart w:id="2" w:name="bmkSymbols"/>
          <w:r>
            <w:rPr>
              <w:b/>
            </w:rPr>
            <w:t>G/TBT/15.2/N/COM</w:t>
          </w:r>
          <w:bookmarkEnd w:id="2"/>
        </w:p>
      </w:tc>
    </w:tr>
    <w:tr w14:paraId="03F77411" w14:textId="77777777" w:rsidTr="00544326">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182B84" w:rsidP="00425DC5" w14:paraId="48542B60" w14:textId="77777777"/>
      </w:tc>
      <w:tc>
        <w:tcPr>
          <w:tcW w:w="5448" w:type="dxa"/>
          <w:gridSpan w:val="2"/>
          <w:shd w:val="clear" w:color="auto" w:fill="FFFFFF"/>
          <w:tcMar>
            <w:left w:w="108" w:type="dxa"/>
            <w:right w:w="108" w:type="dxa"/>
          </w:tcMar>
          <w:vAlign w:val="center"/>
        </w:tcPr>
        <w:p w:rsidR="00ED54E0" w:rsidRPr="00182B84" w:rsidP="00425DC5" w14:paraId="6010EA40" w14:textId="46EBD3E2">
          <w:pPr>
            <w:jc w:val="right"/>
            <w:rPr>
              <w:szCs w:val="16"/>
            </w:rPr>
          </w:pPr>
          <w:r>
            <w:rPr>
              <w:szCs w:val="16"/>
            </w:rPr>
            <w:t>29 June 2026</w:t>
          </w:r>
        </w:p>
      </w:tc>
    </w:tr>
    <w:tr w14:paraId="56C185AF" w14:textId="77777777" w:rsidTr="00544326">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182B84" w:rsidP="006A2185" w14:paraId="472C6959" w14:textId="62E094EB">
          <w:pPr>
            <w:jc w:val="left"/>
            <w:rPr>
              <w:b/>
            </w:rPr>
          </w:pPr>
          <w:bookmarkStart w:id="3" w:name="bmkSerial" w:colFirst="0" w:colLast="0"/>
          <w:r>
            <w:rPr>
              <w:rFonts w:ascii="Verdana" w:eastAsia="Verdana" w:hAnsi="Verdana" w:cs="Verdana"/>
              <w:b w:val="0"/>
              <w:color w:val="FF0000"/>
              <w:sz w:val="18"/>
            </w:rPr>
            <w:t>(26-4693)</w:t>
          </w:r>
        </w:p>
      </w:tc>
      <w:tc>
        <w:tcPr>
          <w:tcW w:w="3325" w:type="dxa"/>
          <w:tcBorders>
            <w:bottom w:val="single" w:sz="4" w:space="0" w:color="auto"/>
          </w:tcBorders>
          <w:tcMar>
            <w:top w:w="0" w:type="dxa"/>
            <w:left w:w="108" w:type="dxa"/>
            <w:bottom w:w="57" w:type="dxa"/>
            <w:right w:w="108" w:type="dxa"/>
          </w:tcMar>
          <w:vAlign w:val="bottom"/>
        </w:tcPr>
        <w:p w:rsidR="00ED54E0" w:rsidRPr="00182B84" w:rsidP="00425DC5" w14:paraId="0DD24584" w14:textId="153F30C6">
          <w:pPr>
            <w:jc w:val="right"/>
            <w:rPr>
              <w:szCs w:val="16"/>
            </w:rPr>
          </w:pPr>
          <w:bookmarkStart w:id="4" w:name="bmkTotPages"/>
          <w:r>
            <w:t xml:space="preserve">Page: 1/4 </w:t>
          </w:r>
          <w:bookmarkEnd w:id="4"/>
        </w:p>
      </w:tc>
    </w:tr>
    <w:tr w14:paraId="7B80B77F" w14:textId="77777777" w:rsidTr="00544326">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5A1909" w:rsidP="00425DC5" w14:paraId="59327545" w14:textId="77777777">
          <w:pPr>
            <w:jc w:val="left"/>
            <w:rPr>
              <w:sz w:val="14"/>
              <w:szCs w:val="16"/>
            </w:rPr>
          </w:pPr>
          <w:bookmarkStart w:id="5" w:name="bmkCommittee"/>
          <w:bookmarkStart w:id="6" w:name="bmkLanguage" w:colFirst="1" w:colLast="1"/>
          <w:bookmarkEnd w:id="3"/>
          <w:r>
            <w:rPr>
              <w:b/>
            </w:rPr>
            <w:t>Committee on Technical Barriers to Trade</w:t>
          </w:r>
          <w:bookmarkEnd w:id="5"/>
        </w:p>
      </w:tc>
      <w:tc>
        <w:tcPr>
          <w:tcW w:w="3325" w:type="dxa"/>
          <w:tcBorders>
            <w:top w:val="single" w:sz="4" w:space="0" w:color="auto"/>
          </w:tcBorders>
          <w:tcMar>
            <w:top w:w="113" w:type="dxa"/>
            <w:left w:w="108" w:type="dxa"/>
            <w:bottom w:w="57" w:type="dxa"/>
            <w:right w:w="108" w:type="dxa"/>
          </w:tcMar>
          <w:vAlign w:val="center"/>
        </w:tcPr>
        <w:p w:rsidR="00ED54E0" w:rsidRPr="00182B84" w:rsidP="00425DC5" w14:paraId="7FC9CB14" w14:textId="37838689">
          <w:pPr>
            <w:jc w:val="right"/>
            <w:rPr>
              <w:bCs/>
              <w:szCs w:val="18"/>
            </w:rPr>
          </w:pPr>
          <w:r>
            <w:t xml:space="preserve">Original: French </w:t>
          </w:r>
        </w:p>
      </w:tc>
    </w:tr>
    <w:bookmarkEnd w:id="6"/>
  </w:tbl>
  <w:p w:rsidR="00ED54E0" w14:paraId="140C7F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5">
    <w:nsid w:val="48F805B6"/>
    <w:multiLevelType w:val="multilevel"/>
    <w:tmpl w:val="669C0A3A"/>
    <w:name w:val="WTO2012Normal6"/>
    <w:lvl w:ilvl="0">
      <w:start w:val="1"/>
      <w:numFmt w:val="decimal"/>
      <w:isLgl/>
      <w:suff w:val="nothing"/>
      <w:lvlText w:val="%1  "/>
      <w:lvlJc w:val="left"/>
      <w:pPr>
        <w:ind w:left="0" w:firstLine="0"/>
      </w:pPr>
    </w:lvl>
    <w:lvl w:ilvl="1">
      <w:start w:val="1"/>
      <w:numFmt w:val="decimal"/>
      <w:isLgl/>
      <w:suff w:val="nothing"/>
      <w:lvlText w:val="%1.%2  "/>
      <w:lvlJc w:val="left"/>
      <w:pPr>
        <w:ind w:left="0" w:firstLine="0"/>
      </w:pPr>
    </w:lvl>
    <w:lvl w:ilvl="2">
      <w:start w:val="1"/>
      <w:numFmt w:val="decimal"/>
      <w:isLgl/>
      <w:suff w:val="nothing"/>
      <w:lvlText w:val="%1.%2.%3  "/>
      <w:lvlJc w:val="left"/>
      <w:pPr>
        <w:ind w:left="0" w:firstLine="0"/>
      </w:pPr>
    </w:lvl>
    <w:lvl w:ilvl="3">
      <w:start w:val="1"/>
      <w:numFmt w:val="decimal"/>
      <w:isLgl/>
      <w:suff w:val="nothing"/>
      <w:lvlText w:val="%1.%2.%3.%4  "/>
      <w:lvlJc w:val="left"/>
      <w:pPr>
        <w:ind w:left="0" w:firstLine="0"/>
      </w:pPr>
    </w:lvl>
    <w:lvl w:ilvl="4">
      <w:start w:val="1"/>
      <w:numFmt w:val="decimal"/>
      <w:isLgl/>
      <w:suff w:val="nothing"/>
      <w:lvlText w:val="%1.%2.%3.%4.%5  "/>
      <w:lvlJc w:val="left"/>
      <w:pPr>
        <w:ind w:left="0" w:firstLine="0"/>
      </w:pPr>
    </w:lvl>
    <w:lvl w:ilvl="5">
      <w:start w:val="1"/>
      <w:numFmt w:val="decimal"/>
      <w:isLgl/>
      <w:suff w:val="nothing"/>
      <w:lvlText w:val="%1.%2.%3.%4.%5.%6  "/>
      <w:lvlJc w:val="left"/>
      <w:pPr>
        <w:ind w:left="0" w:firstLine="0"/>
      </w:pPr>
    </w:lvl>
    <w:lvl w:ilvl="6">
      <w:start w:val="1"/>
      <w:numFmt w:val="decimal"/>
      <w:lvlRestart w:val="0"/>
      <w:suff w:val="nothing"/>
      <w:lvlText w:val="%7.  "/>
      <w:lvlJc w:val="left"/>
      <w:pPr>
        <w:ind w:left="0" w:firstLine="0"/>
      </w:pPr>
    </w:lvl>
    <w:lvl w:ilvl="7">
      <w:start w:val="1"/>
      <w:numFmt w:val="lowerLetter"/>
      <w:lvlText w:val="%8."/>
      <w:lvlJc w:val="left"/>
      <w:pPr>
        <w:tabs>
          <w:tab w:val="num" w:pos="907"/>
        </w:tabs>
        <w:ind w:left="907" w:hanging="340"/>
      </w:pPr>
    </w:lvl>
    <w:lvl w:ilvl="8">
      <w:start w:val="1"/>
      <w:numFmt w:val="lowerRoman"/>
      <w:lvlText w:val="%9."/>
      <w:lvlJc w:val="left"/>
      <w:pPr>
        <w:tabs>
          <w:tab w:val="num" w:pos="1247"/>
        </w:tabs>
        <w:ind w:left="1247" w:hanging="340"/>
      </w:pPr>
    </w:lvl>
  </w:abstractNum>
  <w:abstractNum w:abstractNumId="6">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7">
    <w:nsid w:val="57454AB1"/>
    <w:multiLevelType w:val="multilevel"/>
    <w:tmpl w:val="98D6D06C"/>
    <w:lvl w:ilvl="0">
      <w:start w:val="1"/>
      <w:numFmt w:val="decimal"/>
      <w:pStyle w:val="Heading1"/>
      <w:isLgl/>
      <w:suff w:val="nothing"/>
      <w:lvlText w:val="%1  "/>
      <w:lvlJc w:val="left"/>
      <w:pPr>
        <w:ind w:left="0" w:firstLine="0"/>
      </w:pPr>
      <w:rPr>
        <w:rFonts w:hint="default"/>
      </w:rPr>
    </w:lvl>
    <w:lvl w:ilvl="1">
      <w:start w:val="1"/>
      <w:numFmt w:val="decimal"/>
      <w:lvlText w:val="%2."/>
      <w:lvlJc w:val="left"/>
      <w:pPr>
        <w:ind w:left="360" w:hanging="36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b w:val="0"/>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8">
    <w:nsid w:val="57551E12"/>
    <w:multiLevelType w:val="multilevel"/>
    <w:tmpl w:val="075A666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9">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8326F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8326FAF"/>
    <w:multiLevelType w:val="hybridMultilevel"/>
    <w:tmpl w:val="78326FA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943873893">
    <w:abstractNumId w:val="8"/>
  </w:num>
  <w:num w:numId="2" w16cid:durableId="1652445674">
    <w:abstractNumId w:val="7"/>
  </w:num>
  <w:num w:numId="3" w16cid:durableId="1264723604">
    <w:abstractNumId w:val="6"/>
  </w:num>
  <w:num w:numId="4" w16cid:durableId="422410404">
    <w:abstractNumId w:val="9"/>
  </w:num>
  <w:num w:numId="5" w16cid:durableId="1208184740">
    <w:abstractNumId w:val="4"/>
  </w:num>
  <w:num w:numId="6" w16cid:durableId="1697924805">
    <w:abstractNumId w:val="3"/>
  </w:num>
  <w:num w:numId="7" w16cid:durableId="280494973">
    <w:abstractNumId w:val="2"/>
  </w:num>
  <w:num w:numId="8" w16cid:durableId="1543710065">
    <w:abstractNumId w:val="1"/>
  </w:num>
  <w:num w:numId="9" w16cid:durableId="1146237555">
    <w:abstractNumId w:val="0"/>
  </w:num>
  <w:num w:numId="10" w16cid:durableId="780419052">
    <w:abstractNumId w:val="10"/>
  </w:num>
  <w:num w:numId="11" w16cid:durableId="179663607">
    <w:abstractNumId w:val="11"/>
  </w:num>
  <w:num w:numId="12" w16cid:durableId="851258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attachedTemplate r:id="rId1"/>
  <w:defaultTabStop w:val="567"/>
  <w:hyphenationZone w:val="425"/>
  <w:evenAndOddHeader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1B"/>
    <w:rsid w:val="00005983"/>
    <w:rsid w:val="000106A5"/>
    <w:rsid w:val="0001481E"/>
    <w:rsid w:val="00016333"/>
    <w:rsid w:val="000272F6"/>
    <w:rsid w:val="00037AC4"/>
    <w:rsid w:val="000423BF"/>
    <w:rsid w:val="00044A4B"/>
    <w:rsid w:val="000706FF"/>
    <w:rsid w:val="00077DC5"/>
    <w:rsid w:val="00097FCA"/>
    <w:rsid w:val="000A4945"/>
    <w:rsid w:val="000B31E1"/>
    <w:rsid w:val="000C2E77"/>
    <w:rsid w:val="000D0544"/>
    <w:rsid w:val="000E231E"/>
    <w:rsid w:val="001041E3"/>
    <w:rsid w:val="0011356B"/>
    <w:rsid w:val="00114434"/>
    <w:rsid w:val="00115F64"/>
    <w:rsid w:val="001223FC"/>
    <w:rsid w:val="001253E3"/>
    <w:rsid w:val="0013337F"/>
    <w:rsid w:val="00150D42"/>
    <w:rsid w:val="00154C67"/>
    <w:rsid w:val="00156CBB"/>
    <w:rsid w:val="00166082"/>
    <w:rsid w:val="00182B84"/>
    <w:rsid w:val="00195DA8"/>
    <w:rsid w:val="001B3925"/>
    <w:rsid w:val="001B6605"/>
    <w:rsid w:val="001B6D7F"/>
    <w:rsid w:val="001E291F"/>
    <w:rsid w:val="001E7870"/>
    <w:rsid w:val="00212EBE"/>
    <w:rsid w:val="0021487E"/>
    <w:rsid w:val="00215898"/>
    <w:rsid w:val="002310BF"/>
    <w:rsid w:val="00233408"/>
    <w:rsid w:val="002343D7"/>
    <w:rsid w:val="00242F64"/>
    <w:rsid w:val="002575EC"/>
    <w:rsid w:val="0027067B"/>
    <w:rsid w:val="00281808"/>
    <w:rsid w:val="00286690"/>
    <w:rsid w:val="00291874"/>
    <w:rsid w:val="002A71E0"/>
    <w:rsid w:val="002F707E"/>
    <w:rsid w:val="003018FC"/>
    <w:rsid w:val="00305CBA"/>
    <w:rsid w:val="003156C6"/>
    <w:rsid w:val="00341F5E"/>
    <w:rsid w:val="00352837"/>
    <w:rsid w:val="003572B4"/>
    <w:rsid w:val="003663F6"/>
    <w:rsid w:val="003718FC"/>
    <w:rsid w:val="00373D13"/>
    <w:rsid w:val="00392709"/>
    <w:rsid w:val="0039567B"/>
    <w:rsid w:val="003A0337"/>
    <w:rsid w:val="003A3017"/>
    <w:rsid w:val="003B052C"/>
    <w:rsid w:val="003B6EE5"/>
    <w:rsid w:val="003D0750"/>
    <w:rsid w:val="003D201D"/>
    <w:rsid w:val="003D3361"/>
    <w:rsid w:val="003E4626"/>
    <w:rsid w:val="00415B35"/>
    <w:rsid w:val="00425DC5"/>
    <w:rsid w:val="00430E77"/>
    <w:rsid w:val="00435B12"/>
    <w:rsid w:val="004365D1"/>
    <w:rsid w:val="00442465"/>
    <w:rsid w:val="00463E2D"/>
    <w:rsid w:val="00467032"/>
    <w:rsid w:val="0046754A"/>
    <w:rsid w:val="00467C85"/>
    <w:rsid w:val="0047051A"/>
    <w:rsid w:val="00491CB0"/>
    <w:rsid w:val="00495AC9"/>
    <w:rsid w:val="004A266B"/>
    <w:rsid w:val="004C18C1"/>
    <w:rsid w:val="004C3EDE"/>
    <w:rsid w:val="004E6D4C"/>
    <w:rsid w:val="004F203A"/>
    <w:rsid w:val="00502F54"/>
    <w:rsid w:val="00510DE9"/>
    <w:rsid w:val="005259CA"/>
    <w:rsid w:val="005336B8"/>
    <w:rsid w:val="005405F4"/>
    <w:rsid w:val="00542407"/>
    <w:rsid w:val="00544326"/>
    <w:rsid w:val="005474C3"/>
    <w:rsid w:val="00547B5F"/>
    <w:rsid w:val="00551A16"/>
    <w:rsid w:val="0056365B"/>
    <w:rsid w:val="0056480E"/>
    <w:rsid w:val="00566FC4"/>
    <w:rsid w:val="00570AA7"/>
    <w:rsid w:val="00586652"/>
    <w:rsid w:val="00586E46"/>
    <w:rsid w:val="00586EA6"/>
    <w:rsid w:val="00590DD8"/>
    <w:rsid w:val="005A1909"/>
    <w:rsid w:val="005A1A22"/>
    <w:rsid w:val="005B04B9"/>
    <w:rsid w:val="005B68C7"/>
    <w:rsid w:val="005B7054"/>
    <w:rsid w:val="005C4025"/>
    <w:rsid w:val="005D5079"/>
    <w:rsid w:val="005D5981"/>
    <w:rsid w:val="005E56B6"/>
    <w:rsid w:val="005F30CB"/>
    <w:rsid w:val="005F4C1F"/>
    <w:rsid w:val="005F727F"/>
    <w:rsid w:val="00612644"/>
    <w:rsid w:val="00634A10"/>
    <w:rsid w:val="00673CBA"/>
    <w:rsid w:val="00674CCD"/>
    <w:rsid w:val="00682CC4"/>
    <w:rsid w:val="00686480"/>
    <w:rsid w:val="00694BCE"/>
    <w:rsid w:val="006967BF"/>
    <w:rsid w:val="006972F9"/>
    <w:rsid w:val="006A2185"/>
    <w:rsid w:val="006C3955"/>
    <w:rsid w:val="006F5826"/>
    <w:rsid w:val="006F63AF"/>
    <w:rsid w:val="00700181"/>
    <w:rsid w:val="00701570"/>
    <w:rsid w:val="007100D2"/>
    <w:rsid w:val="007141CF"/>
    <w:rsid w:val="007152F6"/>
    <w:rsid w:val="00723CB4"/>
    <w:rsid w:val="0073791A"/>
    <w:rsid w:val="00745146"/>
    <w:rsid w:val="007577E3"/>
    <w:rsid w:val="00760DB3"/>
    <w:rsid w:val="00762A2B"/>
    <w:rsid w:val="0076348E"/>
    <w:rsid w:val="0076560E"/>
    <w:rsid w:val="00777C72"/>
    <w:rsid w:val="0078157E"/>
    <w:rsid w:val="00795A4B"/>
    <w:rsid w:val="007972BA"/>
    <w:rsid w:val="007A03AC"/>
    <w:rsid w:val="007C0FA5"/>
    <w:rsid w:val="007C3889"/>
    <w:rsid w:val="007C502F"/>
    <w:rsid w:val="007D40B3"/>
    <w:rsid w:val="007E447B"/>
    <w:rsid w:val="007E6507"/>
    <w:rsid w:val="007F2B8E"/>
    <w:rsid w:val="007F32D1"/>
    <w:rsid w:val="00807247"/>
    <w:rsid w:val="00812F52"/>
    <w:rsid w:val="008262D4"/>
    <w:rsid w:val="008404BF"/>
    <w:rsid w:val="00840C2B"/>
    <w:rsid w:val="008428B6"/>
    <w:rsid w:val="00862B40"/>
    <w:rsid w:val="008739FD"/>
    <w:rsid w:val="00881F3D"/>
    <w:rsid w:val="00893E85"/>
    <w:rsid w:val="008940F9"/>
    <w:rsid w:val="00895E31"/>
    <w:rsid w:val="008B7F72"/>
    <w:rsid w:val="008D4E3E"/>
    <w:rsid w:val="008D7949"/>
    <w:rsid w:val="008E372C"/>
    <w:rsid w:val="008F7899"/>
    <w:rsid w:val="00906997"/>
    <w:rsid w:val="00912888"/>
    <w:rsid w:val="009129D0"/>
    <w:rsid w:val="00913EA6"/>
    <w:rsid w:val="009178DE"/>
    <w:rsid w:val="00923BFF"/>
    <w:rsid w:val="009414D8"/>
    <w:rsid w:val="00970DA0"/>
    <w:rsid w:val="00981BF2"/>
    <w:rsid w:val="009A0597"/>
    <w:rsid w:val="009A1CED"/>
    <w:rsid w:val="009A5A24"/>
    <w:rsid w:val="009A6F54"/>
    <w:rsid w:val="009B1301"/>
    <w:rsid w:val="009C2247"/>
    <w:rsid w:val="009C4212"/>
    <w:rsid w:val="009C51D7"/>
    <w:rsid w:val="009E4786"/>
    <w:rsid w:val="00A17420"/>
    <w:rsid w:val="00A42354"/>
    <w:rsid w:val="00A6057A"/>
    <w:rsid w:val="00A64843"/>
    <w:rsid w:val="00A71537"/>
    <w:rsid w:val="00A735E3"/>
    <w:rsid w:val="00A74017"/>
    <w:rsid w:val="00A77E68"/>
    <w:rsid w:val="00A902C3"/>
    <w:rsid w:val="00AA332C"/>
    <w:rsid w:val="00AC27F8"/>
    <w:rsid w:val="00AD30FD"/>
    <w:rsid w:val="00AD4125"/>
    <w:rsid w:val="00AD4C72"/>
    <w:rsid w:val="00AE2AEE"/>
    <w:rsid w:val="00B00276"/>
    <w:rsid w:val="00B118E7"/>
    <w:rsid w:val="00B230EC"/>
    <w:rsid w:val="00B52738"/>
    <w:rsid w:val="00B56EDC"/>
    <w:rsid w:val="00B60206"/>
    <w:rsid w:val="00B66148"/>
    <w:rsid w:val="00B67B8E"/>
    <w:rsid w:val="00B72EB1"/>
    <w:rsid w:val="00B96A74"/>
    <w:rsid w:val="00BA4A34"/>
    <w:rsid w:val="00BB1F84"/>
    <w:rsid w:val="00BB6FBB"/>
    <w:rsid w:val="00BC1A02"/>
    <w:rsid w:val="00BC6D39"/>
    <w:rsid w:val="00BE3476"/>
    <w:rsid w:val="00BE5468"/>
    <w:rsid w:val="00BE5C94"/>
    <w:rsid w:val="00BE7F98"/>
    <w:rsid w:val="00BF79CC"/>
    <w:rsid w:val="00C11EAC"/>
    <w:rsid w:val="00C15F6D"/>
    <w:rsid w:val="00C16205"/>
    <w:rsid w:val="00C27637"/>
    <w:rsid w:val="00C305D7"/>
    <w:rsid w:val="00C30F2A"/>
    <w:rsid w:val="00C408D1"/>
    <w:rsid w:val="00C43456"/>
    <w:rsid w:val="00C625C8"/>
    <w:rsid w:val="00C65C0C"/>
    <w:rsid w:val="00C801FF"/>
    <w:rsid w:val="00C808FC"/>
    <w:rsid w:val="00CA1428"/>
    <w:rsid w:val="00CA2EF9"/>
    <w:rsid w:val="00CA7CA2"/>
    <w:rsid w:val="00CD309B"/>
    <w:rsid w:val="00CD481B"/>
    <w:rsid w:val="00CD7D97"/>
    <w:rsid w:val="00CE3EE6"/>
    <w:rsid w:val="00CE4BA1"/>
    <w:rsid w:val="00CE6C19"/>
    <w:rsid w:val="00CF5529"/>
    <w:rsid w:val="00D000C7"/>
    <w:rsid w:val="00D0342C"/>
    <w:rsid w:val="00D07E2A"/>
    <w:rsid w:val="00D221B8"/>
    <w:rsid w:val="00D2363B"/>
    <w:rsid w:val="00D26433"/>
    <w:rsid w:val="00D52A9D"/>
    <w:rsid w:val="00D55AAD"/>
    <w:rsid w:val="00D6197F"/>
    <w:rsid w:val="00D62242"/>
    <w:rsid w:val="00D747AE"/>
    <w:rsid w:val="00D92221"/>
    <w:rsid w:val="00D9226C"/>
    <w:rsid w:val="00DA20BD"/>
    <w:rsid w:val="00DA350F"/>
    <w:rsid w:val="00DB205A"/>
    <w:rsid w:val="00DD14F3"/>
    <w:rsid w:val="00DE50DB"/>
    <w:rsid w:val="00DF6AE1"/>
    <w:rsid w:val="00E17228"/>
    <w:rsid w:val="00E17B57"/>
    <w:rsid w:val="00E24C3F"/>
    <w:rsid w:val="00E34515"/>
    <w:rsid w:val="00E36146"/>
    <w:rsid w:val="00E37159"/>
    <w:rsid w:val="00E43F90"/>
    <w:rsid w:val="00E46FD5"/>
    <w:rsid w:val="00E544BB"/>
    <w:rsid w:val="00E5472D"/>
    <w:rsid w:val="00E56545"/>
    <w:rsid w:val="00E63FCF"/>
    <w:rsid w:val="00E84614"/>
    <w:rsid w:val="00E90FD8"/>
    <w:rsid w:val="00EA5D4F"/>
    <w:rsid w:val="00EB6C56"/>
    <w:rsid w:val="00ED1D47"/>
    <w:rsid w:val="00ED54E0"/>
    <w:rsid w:val="00EE71F6"/>
    <w:rsid w:val="00EF1B5B"/>
    <w:rsid w:val="00F0186E"/>
    <w:rsid w:val="00F17D84"/>
    <w:rsid w:val="00F32397"/>
    <w:rsid w:val="00F40595"/>
    <w:rsid w:val="00F610BA"/>
    <w:rsid w:val="00F81002"/>
    <w:rsid w:val="00F9086F"/>
    <w:rsid w:val="00F93F4A"/>
    <w:rsid w:val="00F9636F"/>
    <w:rsid w:val="00FA5EBC"/>
    <w:rsid w:val="00FB7CC7"/>
    <w:rsid w:val="00FC4031"/>
    <w:rsid w:val="00FD224A"/>
    <w:rsid w:val="00FE1680"/>
    <w:rsid w:val="00FE6CD8"/>
    <w:rsid w:val="00FF2C1C"/>
    <w:rsid w:val="00FF4616"/>
    <w:rsid w:val="00FF4B27"/>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11712F78"/>
  <w15:docId w15:val="{BC38D12E-9762-4A65-BEDA-F0C16EE1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597"/>
    <w:pPr>
      <w:spacing w:after="0" w:line="240" w:lineRule="auto"/>
      <w:jc w:val="both"/>
    </w:pPr>
    <w:rPr>
      <w:rFonts w:ascii="Verdana" w:eastAsia="Calibri" w:hAnsi="Verdana" w:cs="Times New Roman"/>
      <w:sz w:val="18"/>
    </w:rPr>
  </w:style>
  <w:style w:type="paragraph" w:styleId="Heading1">
    <w:name w:val="heading 1"/>
    <w:basedOn w:val="Normal"/>
    <w:next w:val="Heading2"/>
    <w:link w:val="Heading1Char"/>
    <w:uiPriority w:val="2"/>
    <w:qFormat/>
    <w:rsid w:val="00B230EC"/>
    <w:pPr>
      <w:keepNext/>
      <w:keepLines/>
      <w:numPr>
        <w:numId w:val="2"/>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2"/>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2"/>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2"/>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2"/>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2"/>
      </w:numPr>
      <w:spacing w:after="240"/>
    </w:pPr>
  </w:style>
  <w:style w:type="character" w:customStyle="1" w:styleId="BodyTextChar">
    <w:name w:val="Body Text Char"/>
    <w:basedOn w:val="DefaultParagraphFont"/>
    <w:link w:val="BodyText"/>
    <w:uiPriority w:val="1"/>
    <w:rsid w:val="00D747AE"/>
    <w:rPr>
      <w:rFonts w:ascii="Verdana" w:eastAsia="Calibri" w:hAnsi="Verdana" w:cs="Times New Roman"/>
      <w:sz w:val="18"/>
    </w:rPr>
  </w:style>
  <w:style w:type="paragraph" w:styleId="BodyText2">
    <w:name w:val="Body Text 2"/>
    <w:basedOn w:val="Normal"/>
    <w:link w:val="BodyText2Char"/>
    <w:uiPriority w:val="1"/>
    <w:qFormat/>
    <w:rsid w:val="00D747AE"/>
    <w:pPr>
      <w:numPr>
        <w:ilvl w:val="7"/>
        <w:numId w:val="2"/>
      </w:numPr>
      <w:spacing w:after="240"/>
    </w:pPr>
  </w:style>
  <w:style w:type="character" w:customStyle="1" w:styleId="BodyText2Char">
    <w:name w:val="Body Text 2 Char"/>
    <w:basedOn w:val="DefaultParagraphFont"/>
    <w:link w:val="BodyText2"/>
    <w:uiPriority w:val="1"/>
    <w:rsid w:val="00D747AE"/>
    <w:rPr>
      <w:rFonts w:ascii="Verdana" w:eastAsia="Calibri" w:hAnsi="Verdana" w:cs="Times New Roman"/>
      <w:sz w:val="18"/>
    </w:rPr>
  </w:style>
  <w:style w:type="paragraph" w:styleId="BodyText3">
    <w:name w:val="Body Text 3"/>
    <w:basedOn w:val="Normal"/>
    <w:link w:val="BodyText3Char"/>
    <w:uiPriority w:val="1"/>
    <w:qFormat/>
    <w:rsid w:val="00D747AE"/>
    <w:pPr>
      <w:numPr>
        <w:ilvl w:val="8"/>
        <w:numId w:val="2"/>
      </w:numPr>
      <w:spacing w:after="240"/>
    </w:pPr>
    <w:rPr>
      <w:szCs w:val="16"/>
    </w:rPr>
  </w:style>
  <w:style w:type="character" w:customStyle="1" w:styleId="BodyText3Char">
    <w:name w:val="Body Text 3 Char"/>
    <w:basedOn w:val="DefaultParagraphFont"/>
    <w:link w:val="BodyText3"/>
    <w:uiPriority w:val="1"/>
    <w:rsid w:val="00D747AE"/>
    <w:rPr>
      <w:rFonts w:ascii="Verdana" w:eastAsia="Calibri" w:hAnsi="Verdana" w:cs="Times New Roman"/>
      <w:sz w:val="18"/>
      <w:szCs w:val="16"/>
    </w:rPr>
  </w:style>
  <w:style w:type="numbering" w:customStyle="1" w:styleId="LegalHeadings">
    <w:name w:val="LegalHeadings"/>
    <w:uiPriority w:val="99"/>
    <w:rsid w:val="00D747AE"/>
    <w:pPr>
      <w:numPr>
        <w:numId w:val="1"/>
      </w:numPr>
    </w:pPr>
  </w:style>
  <w:style w:type="paragraph" w:styleId="ListBullet">
    <w:name w:val="List Bullet"/>
    <w:basedOn w:val="Normal"/>
    <w:uiPriority w:val="1"/>
    <w:rsid w:val="00AE2AEE"/>
    <w:pPr>
      <w:numPr>
        <w:numId w:val="3"/>
      </w:numPr>
      <w:spacing w:after="240"/>
    </w:pPr>
  </w:style>
  <w:style w:type="paragraph" w:styleId="ListBullet2">
    <w:name w:val="List Bullet 2"/>
    <w:basedOn w:val="Normal"/>
    <w:uiPriority w:val="1"/>
    <w:rsid w:val="00AE2AEE"/>
    <w:pPr>
      <w:numPr>
        <w:ilvl w:val="1"/>
        <w:numId w:val="3"/>
      </w:numPr>
      <w:spacing w:after="240"/>
    </w:pPr>
  </w:style>
  <w:style w:type="paragraph" w:styleId="ListBullet3">
    <w:name w:val="List Bullet 3"/>
    <w:basedOn w:val="Normal"/>
    <w:uiPriority w:val="1"/>
    <w:rsid w:val="00AE2AEE"/>
    <w:pPr>
      <w:numPr>
        <w:ilvl w:val="2"/>
        <w:numId w:val="3"/>
      </w:numPr>
      <w:spacing w:after="240"/>
    </w:pPr>
  </w:style>
  <w:style w:type="paragraph" w:styleId="ListBullet4">
    <w:name w:val="List Bullet 4"/>
    <w:basedOn w:val="Normal"/>
    <w:uiPriority w:val="1"/>
    <w:rsid w:val="00AE2AEE"/>
    <w:pPr>
      <w:numPr>
        <w:ilvl w:val="3"/>
        <w:numId w:val="3"/>
      </w:numPr>
      <w:spacing w:after="240"/>
      <w:ind w:left="1587" w:hanging="340"/>
    </w:pPr>
  </w:style>
  <w:style w:type="paragraph" w:styleId="ListBullet5">
    <w:name w:val="List Bullet 5"/>
    <w:basedOn w:val="Normal"/>
    <w:uiPriority w:val="1"/>
    <w:rsid w:val="00AE2AEE"/>
    <w:pPr>
      <w:numPr>
        <w:ilvl w:val="4"/>
        <w:numId w:val="3"/>
      </w:numPr>
      <w:spacing w:after="240"/>
    </w:pPr>
  </w:style>
  <w:style w:type="numbering" w:customStyle="1" w:styleId="ListBullets">
    <w:name w:val="ListBullets"/>
    <w:uiPriority w:val="99"/>
    <w:rsid w:val="00760DB3"/>
    <w:pPr>
      <w:numPr>
        <w:numId w:val="3"/>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4"/>
      </w:numPr>
      <w:spacing w:after="240"/>
      <w:ind w:left="0" w:firstLine="0"/>
    </w:p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eastAsia="Calibri" w:hAnsi="Verdana" w:cs="Times New Roman"/>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5"/>
      </w:numPr>
      <w:contextualSpacing/>
    </w:pPr>
  </w:style>
  <w:style w:type="paragraph" w:styleId="ListNumber2">
    <w:name w:val="List Number 2"/>
    <w:basedOn w:val="Normal"/>
    <w:uiPriority w:val="49"/>
    <w:semiHidden/>
    <w:unhideWhenUsed/>
    <w:rsid w:val="00547B5F"/>
    <w:pPr>
      <w:numPr>
        <w:numId w:val="6"/>
      </w:numPr>
      <w:contextualSpacing/>
    </w:pPr>
  </w:style>
  <w:style w:type="paragraph" w:styleId="ListNumber3">
    <w:name w:val="List Number 3"/>
    <w:basedOn w:val="Normal"/>
    <w:uiPriority w:val="49"/>
    <w:unhideWhenUsed/>
    <w:rsid w:val="00547B5F"/>
    <w:pPr>
      <w:numPr>
        <w:numId w:val="7"/>
      </w:numPr>
      <w:contextualSpacing/>
    </w:pPr>
  </w:style>
  <w:style w:type="paragraph" w:styleId="ListNumber4">
    <w:name w:val="List Number 4"/>
    <w:basedOn w:val="Normal"/>
    <w:uiPriority w:val="49"/>
    <w:semiHidden/>
    <w:unhideWhenUsed/>
    <w:rsid w:val="00547B5F"/>
    <w:pPr>
      <w:numPr>
        <w:numId w:val="8"/>
      </w:numPr>
      <w:contextualSpacing/>
    </w:pPr>
  </w:style>
  <w:style w:type="paragraph" w:styleId="ListNumber5">
    <w:name w:val="List Number 5"/>
    <w:basedOn w:val="Normal"/>
    <w:uiPriority w:val="49"/>
    <w:semiHidden/>
    <w:unhideWhenUsed/>
    <w:rsid w:val="00547B5F"/>
    <w:pPr>
      <w:numPr>
        <w:numId w:val="9"/>
      </w:numPr>
      <w:contextualSpacing/>
    </w:pPr>
  </w:style>
  <w:style w:type="paragraph" w:styleId="Macro">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color w:val="006283"/>
    </w:rPr>
  </w:style>
  <w:style w:type="table" w:customStyle="1" w:styleId="TableGrid1">
    <w:name w:val="Table Grid1"/>
    <w:basedOn w:val="TableNormal"/>
    <w:next w:val="TableGrid"/>
    <w:uiPriority w:val="39"/>
    <w:rsid w:val="0063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06997"/>
    <w:rPr>
      <w:color w:val="808080"/>
      <w:shd w:val="clear" w:color="auto" w:fill="E6E6E6"/>
    </w:rPr>
  </w:style>
  <w:style w:type="character" w:customStyle="1" w:styleId="UnresolvedMention2">
    <w:name w:val="Unresolved Mention2"/>
    <w:basedOn w:val="DefaultParagraphFont"/>
    <w:uiPriority w:val="99"/>
    <w:semiHidden/>
    <w:unhideWhenUsed/>
    <w:rsid w:val="005C4025"/>
    <w:rPr>
      <w:color w:val="808080"/>
      <w:shd w:val="clear" w:color="auto" w:fill="E6E6E6"/>
    </w:rPr>
  </w:style>
  <w:style w:type="numbering" w:styleId="1ai">
    <w:name w:val="Outline List 1"/>
    <w:basedOn w:val="NoList"/>
    <w:rsid w:val="00463E2D"/>
    <w:pPr>
      <w:numPr>
        <w:numId w:val="10"/>
      </w:numPr>
    </w:pPr>
  </w:style>
  <w:style w:type="character" w:customStyle="1" w:styleId="q4iawc">
    <w:name w:val="q4iawc"/>
    <w:basedOn w:val="DefaultParagraphFont"/>
    <w:rsid w:val="00B72EB1"/>
  </w:style>
  <w:style w:type="character" w:customStyle="1" w:styleId="UnresolvedMention3">
    <w:name w:val="Unresolved Mention3"/>
    <w:basedOn w:val="DefaultParagraphFont"/>
    <w:uiPriority w:val="99"/>
    <w:semiHidden/>
    <w:unhideWhenUsed/>
    <w:rsid w:val="00B72EB1"/>
    <w:rPr>
      <w:color w:val="605E5C"/>
      <w:shd w:val="clear" w:color="auto" w:fill="E1DFDD"/>
    </w:rPr>
  </w:style>
  <w:style w:type="character" w:customStyle="1" w:styleId="ui-provider">
    <w:name w:val="ui-provider"/>
    <w:basedOn w:val="DefaultParagraphFont"/>
    <w:rsid w:val="00077DC5"/>
  </w:style>
  <w:style w:type="character" w:styleId="UnresolvedMention">
    <w:name w:val="Unresolved Mention"/>
    <w:basedOn w:val="DefaultParagraphFont"/>
    <w:uiPriority w:val="99"/>
    <w:rsid w:val="00923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www.mung5anyo.km" TargetMode="External" /><Relationship Id="rId8" Type="http://schemas.openxmlformats.org/officeDocument/2006/relationships/hyperlink" Target="mailto:zaboinamed2014@gmail.com"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eping.wto.org/fr/EnquiryPoint/tbt-nep"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ipiani\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8162ea23-3f15-44d5-ab10-347776a5e5f5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4923ED2-BAE9-402C-92A8-F4C68FDD7E71}">
  <ds:schemaRefs>
    <ds:schemaRef ds:uri="http://schemas.openxmlformats.org/officeDocument/2006/bibliography"/>
  </ds:schemaRefs>
</ds:datastoreItem>
</file>

<file path=customXml/itemProps2.xml><?xml version="1.0" encoding="utf-8"?>
<ds:datastoreItem xmlns:ds="http://schemas.openxmlformats.org/officeDocument/2006/customXml" ds:itemID="{F8A74FC4-F773-4466-A364-6357C94F445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147</TotalTime>
  <Pages>4</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Tipiani, Laura</cp:lastModifiedBy>
  <cp:revision>51</cp:revision>
  <cp:lastPrinted>2017-09-06T09:33:00Z</cp:lastPrinted>
  <dcterms:created xsi:type="dcterms:W3CDTF">2026-06-26T08:30:00Z</dcterms:created>
  <dcterms:modified xsi:type="dcterms:W3CDTF">2026-07-03T10:09:00Z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G/TBT/15.2/N/[ISO 3 letter country code]</vt:lpwstr>
  </property>
  <property fmtid="{D5CDD505-2E9C-101B-9397-08002B2CF9AE}" pid="3" name="TitusGUID">
    <vt:lpwstr>8162ea23-3f15-44d5-ab10-347776a5e5f5</vt:lpwstr>
  </property>
  <property fmtid="{D5CDD505-2E9C-101B-9397-08002B2CF9AE}" pid="4" name="WTOCLASSIFICATION">
    <vt:lpwstr>WTO OFFICIAL</vt:lpwstr>
  </property>
</Properties>
</file>