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BAC351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1B0FE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87EA3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0D4CA8C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50F3BD4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2AAAF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168C3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0E890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FDBE5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2052E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18861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Extracts and juices of meat, fish or crustaceans, molluscs or other aquatic invertebrates. (HS code(s): 1603); Meat and meat products (ICS code(s): 67.120.10)</w:t>
            </w:r>
          </w:p>
        </w:tc>
      </w:tr>
      <w:tr w14:paraId="1F7B910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F1401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34487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3CCA0C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C3F9D2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CF4FED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772FB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6ED448" w14:textId="6B2B6D61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1350:2026, Meat Extract — Specification, First</w:t>
            </w:r>
            <w:r w:rsidR="00D2735E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63D27C3C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https://members.wto.org/crnattachments/2026/SPS/TZA/26_02800_00_e.pdf</w:t>
              </w:r>
            </w:hyperlink>
          </w:p>
        </w:tc>
      </w:tr>
      <w:tr w14:paraId="3FCA1E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E126F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9FC52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requirements, sampling and test methods for meat extract from food animals intended for human consumption.</w:t>
            </w:r>
          </w:p>
          <w:p w:rsidR="00581262" w:rsidRPr="0065690F" w:rsidP="00441372" w14:paraId="295BBF64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80059D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0945F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CD2B3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D3A44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844E8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C633D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4BF96E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50DB11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94F21E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BD4B2C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9DC1D1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C53F0A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B447B48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2260C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2735E" w14:paraId="2F66EB24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2735E" w14:paraId="1A578F15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581262" w:rsidRPr="0065690F" w:rsidP="00D2735E" w14:paraId="2C18EBA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972.25, Lead in food. Atomic absorption spectrophotometric method</w:t>
            </w:r>
          </w:p>
          <w:p w:rsidR="00581262" w:rsidRPr="0065690F" w:rsidP="00D2735E" w14:paraId="5315230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CXM</w:t>
            </w:r>
            <w:r w:rsidRPr="0065690F">
              <w:t xml:space="preserve"> 2, Maximum residue limits (</w:t>
            </w:r>
            <w:r w:rsidRPr="0065690F">
              <w:t>MRLs</w:t>
            </w:r>
            <w:r w:rsidRPr="0065690F">
              <w:t>) and risk management recommendations (</w:t>
            </w:r>
            <w:r w:rsidRPr="0065690F">
              <w:t>RMRs</w:t>
            </w:r>
            <w:r w:rsidRPr="0065690F">
              <w:t>)for residues of veterinary drugs in foods</w:t>
            </w:r>
          </w:p>
          <w:p w:rsidR="00581262" w:rsidRPr="0065690F" w:rsidP="00D2735E" w14:paraId="6CEDE10A" w14:textId="6A2BE79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CXG</w:t>
            </w:r>
            <w:r w:rsidRPr="0065690F">
              <w:t xml:space="preserve"> 50</w:t>
            </w:r>
            <w:r>
              <w:t>,</w:t>
            </w:r>
            <w:r w:rsidRPr="0065690F">
              <w:t xml:space="preserve"> General guidelines on sampling</w:t>
            </w:r>
          </w:p>
          <w:p w:rsidR="00581262" w:rsidRPr="0065690F" w:rsidP="00D2735E" w14:paraId="7CDF357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General principles of food hygiene -Code of practice.</w:t>
            </w:r>
          </w:p>
          <w:p w:rsidR="00581262" w:rsidRPr="0065690F" w:rsidP="00D2735E" w14:paraId="1A13FC2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food and feeding staffs – Horizontal method for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581262" w:rsidRPr="0065690F" w:rsidP="00D2735E" w14:paraId="0BBDA59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7937, Microbiology of food and animal feeding stuffs – Horizontal method for the enumeration of Clostridium perfringens – Colony-count technique</w:t>
            </w:r>
          </w:p>
          <w:p w:rsidR="00581262" w:rsidRPr="0065690F" w:rsidP="00D2735E" w14:paraId="058531A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Technique using Baird- Parker agar medium – Amendment 1: Inclusion of precision data</w:t>
            </w:r>
          </w:p>
          <w:p w:rsidR="00581262" w:rsidRPr="0065690F" w:rsidP="00D2735E" w14:paraId="61CF5B5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581262" w:rsidRPr="0065690F" w:rsidP="00D2735E" w14:paraId="6AEFF9D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feeding-stuffs –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:rsidR="00581262" w:rsidRPr="0065690F" w:rsidP="00D2735E" w14:paraId="1351644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11290-1, Microbiology of food and animal feeding stuffs – Horizontal method for the detection and enumeration of Listeria monocytogenes – Part 1 – Detection method</w:t>
            </w:r>
          </w:p>
          <w:p w:rsidR="00581262" w:rsidRPr="0065690F" w:rsidP="00D2735E" w14:paraId="348105A2" w14:textId="6569BAD8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1443</w:t>
            </w:r>
            <w:r w:rsidR="00D2735E">
              <w:t>,</w:t>
            </w:r>
            <w:r w:rsidRPr="0065690F">
              <w:t xml:space="preserve"> Meat and meat products – Determination of total fat content</w:t>
            </w:r>
          </w:p>
          <w:p w:rsidR="00581262" w:rsidRPr="0065690F" w:rsidP="00D2735E" w14:paraId="54C1EBC5" w14:textId="436DC6A0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17604</w:t>
            </w:r>
            <w:r w:rsidR="00D2735E">
              <w:t>,</w:t>
            </w:r>
            <w:r w:rsidRPr="0065690F">
              <w:t xml:space="preserve"> Microbiology of the food chain – Carcass sampling for microbiology analysis</w:t>
            </w:r>
          </w:p>
          <w:p w:rsidR="00581262" w:rsidRPr="0065690F" w:rsidP="00D2735E" w14:paraId="2E7ECF31" w14:textId="05204E70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10272-1:2006</w:t>
            </w:r>
            <w:r w:rsidR="00D2735E">
              <w:t>,</w:t>
            </w:r>
            <w:r w:rsidRPr="0065690F">
              <w:t xml:space="preserve"> Microbiology of food and animal feeding stuffs – Horizontal method for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– Part 1: Detection method</w:t>
            </w:r>
          </w:p>
          <w:p w:rsidR="00581262" w:rsidRPr="0065690F" w:rsidP="00D2735E" w14:paraId="51DF507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193 – Codex general standard for contaminants and toxins in food and feed</w:t>
            </w:r>
          </w:p>
          <w:p w:rsidR="00581262" w:rsidRPr="0065690F" w:rsidP="00D2735E" w14:paraId="75E6610C" w14:textId="637E737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21527-1</w:t>
            </w:r>
            <w:r w:rsidR="00D2735E">
              <w:t>,</w:t>
            </w:r>
            <w:r w:rsidRPr="0065690F">
              <w:t xml:space="preserve"> Microbiology of food and animal feeding stuffs — Horizontal method for the enumeration of yeasts and moulds Part 1: Colony count technique in products with water activity greater than 0.95</w:t>
            </w:r>
          </w:p>
        </w:tc>
      </w:tr>
      <w:tr w14:paraId="3B25A6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B126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1B22D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3F159C9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B3845A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7ACF5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703FC7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54B779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F0EEF0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D426E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E537AC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27 July 2026</w:t>
            </w:r>
          </w:p>
          <w:p w:rsidR="00EA4725" w:rsidRPr="00441372" w:rsidP="00441372" w14:paraId="1D958D77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581262" w:rsidRPr="0065690F" w:rsidP="00441372" w14:paraId="0D60C8C1" w14:textId="77777777">
            <w:r w:rsidRPr="0065690F">
              <w:t>Tanzania Bureau of Standards</w:t>
            </w:r>
          </w:p>
          <w:p w:rsidR="00581262" w:rsidRPr="0065690F" w:rsidP="00441372" w14:paraId="55024245" w14:textId="77777777">
            <w:r w:rsidRPr="0065690F">
              <w:t>Ubungo</w:t>
            </w:r>
            <w:r w:rsidRPr="0065690F">
              <w:t>, Morogoro Road/Sam Nujoma Road</w:t>
            </w:r>
          </w:p>
          <w:p w:rsidR="00581262" w:rsidRPr="00D2735E" w:rsidP="00441372" w14:paraId="52B526B5" w14:textId="77777777">
            <w:pPr>
              <w:rPr>
                <w:lang w:val="es-ES_tradnl"/>
              </w:rPr>
            </w:pPr>
            <w:r w:rsidRPr="00D2735E">
              <w:rPr>
                <w:lang w:val="es-ES_tradnl"/>
              </w:rPr>
              <w:t>P. O. Box 9524</w:t>
            </w:r>
          </w:p>
          <w:p w:rsidR="00581262" w:rsidRPr="00D2735E" w:rsidP="00441372" w14:paraId="0A9ADF33" w14:textId="77777777">
            <w:pPr>
              <w:rPr>
                <w:lang w:val="es-ES_tradnl"/>
              </w:rPr>
            </w:pPr>
            <w:r w:rsidRPr="00D2735E">
              <w:rPr>
                <w:lang w:val="es-ES_tradnl"/>
              </w:rPr>
              <w:t>DAR ES SALAAM, TANZANIA</w:t>
            </w:r>
          </w:p>
          <w:p w:rsidR="00D2735E" w:rsidRPr="00CE5927" w:rsidP="00D2735E" w14:paraId="5D248EFF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D2735E" w:rsidRPr="0065690F" w:rsidP="00D2735E" w14:paraId="5E8EA7F9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581262" w:rsidRPr="0065690F" w:rsidP="00441372" w14:paraId="28509171" w14:textId="77777777">
            <w:r w:rsidRPr="0065690F">
              <w:t>Fax: +(255 22) 245 0959</w:t>
            </w:r>
          </w:p>
          <w:p w:rsidR="00581262" w:rsidRPr="0065690F" w:rsidP="00441372" w14:paraId="35E86B07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581262" w:rsidRPr="0065690F" w:rsidP="00441372" w14:paraId="305EC742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A0EBE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AF5381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C757B9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212E9E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AA5316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D2735E" w:rsidP="00F3021D" w14:paraId="0E64B2C1" w14:textId="77777777">
            <w:pPr>
              <w:keepNext/>
              <w:keepLines/>
              <w:rPr>
                <w:bCs/>
                <w:lang w:val="es-ES_tradnl"/>
              </w:rPr>
            </w:pPr>
            <w:r w:rsidRPr="00D2735E">
              <w:rPr>
                <w:bCs/>
                <w:lang w:val="es-ES_tradnl"/>
              </w:rPr>
              <w:t>P. O. Box 9524</w:t>
            </w:r>
          </w:p>
          <w:p w:rsidR="00EA4725" w:rsidRPr="00D2735E" w:rsidP="00F3021D" w14:paraId="482A5F65" w14:textId="77777777">
            <w:pPr>
              <w:keepNext/>
              <w:keepLines/>
              <w:rPr>
                <w:bCs/>
                <w:lang w:val="es-ES_tradnl"/>
              </w:rPr>
            </w:pPr>
            <w:r w:rsidRPr="00D2735E">
              <w:rPr>
                <w:bCs/>
                <w:lang w:val="es-ES_tradnl"/>
              </w:rPr>
              <w:t>DAR ES SALAAM, TANZANIA</w:t>
            </w:r>
          </w:p>
          <w:p w:rsidR="00D2735E" w:rsidRPr="00CE5927" w:rsidP="00D2735E" w14:paraId="07EBAB6E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D2735E" w:rsidRPr="0065690F" w:rsidP="00D2735E" w14:paraId="771C4CA3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EA4725" w:rsidRPr="0065690F" w:rsidP="00F3021D" w14:paraId="43B2CE8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3DAAF46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626FE77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2BBB09F" w14:textId="77777777"/>
    <w:sectPr w:rsidSect="00A35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35AF7" w:rsidP="00A35AF7" w14:paraId="3E00DA55" w14:textId="3BA5044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35AF7" w:rsidP="00A35AF7" w14:paraId="32FF276B" w14:textId="0107006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F16B9F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AF7" w:rsidRPr="00A35AF7" w:rsidP="00A35AF7" w14:paraId="5A2A8F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AF7">
      <w:t>G/SPS/N/BDI/163 • G/SPS/N/KEN/374 • G/SPS/N/RWA/156 • G/SPS/N/</w:t>
    </w:r>
    <w:r w:rsidRPr="00A35AF7">
      <w:t>TZA</w:t>
    </w:r>
    <w:r w:rsidRPr="00A35AF7">
      <w:t>/544 • G/SPS/N/UGA/485</w:t>
    </w:r>
  </w:p>
  <w:p w:rsidR="00A35AF7" w:rsidRPr="00A35AF7" w:rsidP="00A35AF7" w14:paraId="756C63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35AF7" w:rsidRPr="00A35AF7" w:rsidP="00A35AF7" w14:paraId="30A576E6" w14:textId="2DD592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AF7">
      <w:t xml:space="preserve">- </w:t>
    </w:r>
    <w:r w:rsidRPr="00A35AF7">
      <w:fldChar w:fldCharType="begin"/>
    </w:r>
    <w:r w:rsidRPr="00A35AF7">
      <w:instrText xml:space="preserve"> PAGE </w:instrText>
    </w:r>
    <w:r w:rsidRPr="00A35AF7">
      <w:fldChar w:fldCharType="separate"/>
    </w:r>
    <w:r w:rsidRPr="00A35AF7">
      <w:t>2</w:t>
    </w:r>
    <w:r w:rsidRPr="00A35AF7">
      <w:fldChar w:fldCharType="end"/>
    </w:r>
    <w:r w:rsidRPr="00A35AF7">
      <w:t xml:space="preserve"> -</w:t>
    </w:r>
  </w:p>
  <w:p w:rsidR="00EA4725" w:rsidRPr="00A35AF7" w:rsidP="00A35AF7" w14:paraId="1E395C07" w14:textId="3B7FCB4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AF7" w:rsidRPr="00A35AF7" w:rsidP="00A35AF7" w14:paraId="5125A9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AF7">
      <w:t>G/SPS/N/BDI/163 • G/SPS/N/KEN/374 • G/SPS/N/RWA/156 • G/SPS/N/</w:t>
    </w:r>
    <w:r w:rsidRPr="00A35AF7">
      <w:t>TZA</w:t>
    </w:r>
    <w:r w:rsidRPr="00A35AF7">
      <w:t>/544 • G/SPS/N/UGA/485</w:t>
    </w:r>
  </w:p>
  <w:p w:rsidR="00A35AF7" w:rsidRPr="00A35AF7" w:rsidP="00A35AF7" w14:paraId="475FA6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35AF7" w:rsidRPr="00A35AF7" w:rsidP="00A35AF7" w14:paraId="053C2EB6" w14:textId="2CF4D3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AF7">
      <w:t xml:space="preserve">- </w:t>
    </w:r>
    <w:r w:rsidRPr="00A35AF7">
      <w:fldChar w:fldCharType="begin"/>
    </w:r>
    <w:r w:rsidRPr="00A35AF7">
      <w:instrText xml:space="preserve"> PAGE </w:instrText>
    </w:r>
    <w:r w:rsidRPr="00A35AF7">
      <w:fldChar w:fldCharType="separate"/>
    </w:r>
    <w:r w:rsidRPr="00A35AF7">
      <w:t>3</w:t>
    </w:r>
    <w:r w:rsidRPr="00A35AF7">
      <w:fldChar w:fldCharType="end"/>
    </w:r>
    <w:r w:rsidRPr="00A35AF7">
      <w:t xml:space="preserve"> -</w:t>
    </w:r>
  </w:p>
  <w:p w:rsidR="00EA4725" w:rsidRPr="00A35AF7" w:rsidP="00A35AF7" w14:paraId="589E2ED2" w14:textId="44A190C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EA964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D7BBD0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F0F382B" w14:textId="090BBBC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141793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393CE4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85E35C4" w14:textId="77777777">
          <w:pPr>
            <w:jc w:val="right"/>
            <w:rPr>
              <w:b/>
              <w:szCs w:val="16"/>
            </w:rPr>
          </w:pPr>
        </w:p>
      </w:tc>
    </w:tr>
    <w:tr w14:paraId="14DA1D9F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7D42B1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35AF7" w:rsidP="00656ABC" w14:paraId="5FEA6A4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G/SPS/N/BDI/163, G/SPS/N/KEN/374</w:t>
          </w:r>
        </w:p>
        <w:p w:rsidR="00A35AF7" w:rsidP="00656ABC" w14:paraId="588FA583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G/SPS/N/RWA/156,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/544</w:t>
          </w:r>
        </w:p>
        <w:p w:rsidR="00656ABC" w:rsidRPr="00EA4725" w:rsidP="00656ABC" w14:paraId="4A96C396" w14:textId="19CD83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G/SPS/N/UGA/485</w:t>
          </w:r>
          <w:bookmarkEnd w:id="1"/>
        </w:p>
      </w:tc>
    </w:tr>
    <w:tr w14:paraId="07CC272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EAF253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033A19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May 2026</w:t>
          </w:r>
          <w:bookmarkEnd w:id="3"/>
        </w:p>
      </w:tc>
    </w:tr>
    <w:tr w14:paraId="29F0612C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E06EDA4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(26-3955)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AD78AB1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60E0D1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5CCA9A8" w14:textId="7F8394D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7954F40" w14:textId="4F32895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418D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654258">
    <w:abstractNumId w:val="9"/>
  </w:num>
  <w:num w:numId="2" w16cid:durableId="1509176175">
    <w:abstractNumId w:val="7"/>
  </w:num>
  <w:num w:numId="3" w16cid:durableId="1836913089">
    <w:abstractNumId w:val="6"/>
  </w:num>
  <w:num w:numId="4" w16cid:durableId="238950323">
    <w:abstractNumId w:val="5"/>
  </w:num>
  <w:num w:numId="5" w16cid:durableId="184488047">
    <w:abstractNumId w:val="4"/>
  </w:num>
  <w:num w:numId="6" w16cid:durableId="1923030781">
    <w:abstractNumId w:val="12"/>
  </w:num>
  <w:num w:numId="7" w16cid:durableId="451365427">
    <w:abstractNumId w:val="11"/>
  </w:num>
  <w:num w:numId="8" w16cid:durableId="134101994">
    <w:abstractNumId w:val="10"/>
  </w:num>
  <w:num w:numId="9" w16cid:durableId="394545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2407350">
    <w:abstractNumId w:val="13"/>
  </w:num>
  <w:num w:numId="11" w16cid:durableId="1414203312">
    <w:abstractNumId w:val="8"/>
  </w:num>
  <w:num w:numId="12" w16cid:durableId="1012952374">
    <w:abstractNumId w:val="3"/>
  </w:num>
  <w:num w:numId="13" w16cid:durableId="191194083">
    <w:abstractNumId w:val="2"/>
  </w:num>
  <w:num w:numId="14" w16cid:durableId="1302534328">
    <w:abstractNumId w:val="1"/>
  </w:num>
  <w:num w:numId="15" w16cid:durableId="1566723007">
    <w:abstractNumId w:val="0"/>
  </w:num>
  <w:num w:numId="16" w16cid:durableId="489448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1262"/>
    <w:rsid w:val="005B04B9"/>
    <w:rsid w:val="005B68C7"/>
    <w:rsid w:val="005B7054"/>
    <w:rsid w:val="005C04C1"/>
    <w:rsid w:val="005D5981"/>
    <w:rsid w:val="005E41A8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35AF7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5927"/>
    <w:rsid w:val="00D000C7"/>
    <w:rsid w:val="00D2735E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37B5B"/>
    <w:rsid w:val="00F40595"/>
    <w:rsid w:val="00FA5EBC"/>
    <w:rsid w:val="00FD224A"/>
    <w:rsid w:val="00FD3B17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B3F86B"/>
  <w15:docId w15:val="{80E7239B-C96E-4AF0-9E8F-4AD27311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2800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11d140fb-d67c-434c-850f-5e7ef065ba79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C05E146-4849-4B84-8767-C3766F2770F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Mermaz, Johann</cp:lastModifiedBy>
  <cp:revision>13</cp:revision>
  <dcterms:created xsi:type="dcterms:W3CDTF">2017-07-03T11:19:00Z</dcterms:created>
  <dcterms:modified xsi:type="dcterms:W3CDTF">2026-05-28T13:43:00Z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G/SPS/N/BDI/163</vt:lpwstr>
  </property>
  <property fmtid="{D5CDD505-2E9C-101B-9397-08002B2CF9AE}" pid="3" name="Symbol2">
    <vt:lpwstr>G/SPS/N/KEN/374</vt:lpwstr>
  </property>
  <property fmtid="{D5CDD505-2E9C-101B-9397-08002B2CF9AE}" pid="4" name="Symbol3">
    <vt:lpwstr>G/SPS/N/RWA/156</vt:lpwstr>
  </property>
  <property fmtid="{D5CDD505-2E9C-101B-9397-08002B2CF9AE}" pid="5" name="Symbol4">
    <vt:lpwstr>G/SPS/N/TZA/544</vt:lpwstr>
  </property>
  <property fmtid="{D5CDD505-2E9C-101B-9397-08002B2CF9AE}" pid="6" name="Symbol5">
    <vt:lpwstr>G/SPS/N/UGA/485</vt:lpwstr>
  </property>
  <property fmtid="{D5CDD505-2E9C-101B-9397-08002B2CF9AE}" pid="7" name="TitusGUID">
    <vt:lpwstr>11d140fb-d67c-434c-850f-5e7ef065ba79</vt:lpwstr>
  </property>
  <property fmtid="{D5CDD505-2E9C-101B-9397-08002B2CF9AE}" pid="8" name="WTOCLASSIFICATION">
    <vt:lpwstr>WTO OFFICIAL</vt:lpwstr>
  </property>
</Properties>
</file>